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736D"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61DC743B" wp14:editId="61DC743C">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61DC7370" w14:textId="77777777" w:rsidTr="00EB3CF0">
        <w:trPr>
          <w:tblHeader/>
        </w:trPr>
        <w:tc>
          <w:tcPr>
            <w:tcW w:w="3456" w:type="dxa"/>
            <w:tcBorders>
              <w:bottom w:val="single" w:sz="18" w:space="0" w:color="auto"/>
            </w:tcBorders>
          </w:tcPr>
          <w:p w14:paraId="61DC736E"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61DC736F" w14:textId="77777777" w:rsidR="00333FAA" w:rsidRPr="005E3A10" w:rsidRDefault="005811F8" w:rsidP="00F06E4E">
            <w:pPr>
              <w:pStyle w:val="Heading1"/>
              <w:outlineLvl w:val="0"/>
              <w:rPr>
                <w:szCs w:val="24"/>
              </w:rPr>
            </w:pPr>
            <w:r w:rsidRPr="005E3A10">
              <w:t>Cabinet</w:t>
            </w:r>
          </w:p>
        </w:tc>
      </w:tr>
      <w:tr w:rsidR="00333FAA" w14:paraId="61DC7373" w14:textId="77777777" w:rsidTr="00EB3CF0">
        <w:tc>
          <w:tcPr>
            <w:tcW w:w="3456" w:type="dxa"/>
            <w:tcBorders>
              <w:top w:val="single" w:sz="18" w:space="0" w:color="auto"/>
            </w:tcBorders>
          </w:tcPr>
          <w:p w14:paraId="61DC7371"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61DC7372" w14:textId="5488164D" w:rsidR="00333FAA" w:rsidRPr="005E3A10" w:rsidRDefault="0064679A" w:rsidP="00A53B04">
            <w:pPr>
              <w:rPr>
                <w:rFonts w:cs="Arial"/>
                <w:szCs w:val="24"/>
              </w:rPr>
            </w:pPr>
            <w:r>
              <w:rPr>
                <w:rFonts w:cs="Arial"/>
                <w:szCs w:val="24"/>
              </w:rPr>
              <w:t>21 January 2021</w:t>
            </w:r>
          </w:p>
        </w:tc>
      </w:tr>
      <w:tr w:rsidR="00333FAA" w14:paraId="61DC7376" w14:textId="77777777" w:rsidTr="00EB3CF0">
        <w:tc>
          <w:tcPr>
            <w:tcW w:w="3456" w:type="dxa"/>
          </w:tcPr>
          <w:p w14:paraId="61DC7374"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1A5D367C" w14:textId="77777777" w:rsidR="00333FAA" w:rsidRDefault="002E2E69" w:rsidP="00A53B04">
            <w:pPr>
              <w:rPr>
                <w:rFonts w:cs="Arial"/>
                <w:szCs w:val="24"/>
              </w:rPr>
            </w:pPr>
            <w:r>
              <w:rPr>
                <w:rFonts w:cs="Arial"/>
                <w:szCs w:val="24"/>
              </w:rPr>
              <w:t xml:space="preserve">Review of Housing </w:t>
            </w:r>
            <w:r w:rsidR="00C969A6">
              <w:rPr>
                <w:rFonts w:cs="Arial"/>
                <w:szCs w:val="24"/>
              </w:rPr>
              <w:t xml:space="preserve">and Homelessness </w:t>
            </w:r>
            <w:r>
              <w:rPr>
                <w:rFonts w:cs="Arial"/>
                <w:szCs w:val="24"/>
              </w:rPr>
              <w:t xml:space="preserve">Strategies (Part 2): Housing Allocation Scheme and </w:t>
            </w:r>
            <w:r w:rsidR="00C969A6">
              <w:rPr>
                <w:rFonts w:cs="Arial"/>
                <w:szCs w:val="24"/>
              </w:rPr>
              <w:t>Tenancy Strategy &amp; Policy</w:t>
            </w:r>
          </w:p>
          <w:p w14:paraId="61DC7375" w14:textId="68F85837" w:rsidR="00C969A6" w:rsidRPr="005E3A10" w:rsidRDefault="00C969A6" w:rsidP="00A53B04">
            <w:pPr>
              <w:rPr>
                <w:rFonts w:cs="Arial"/>
                <w:szCs w:val="24"/>
              </w:rPr>
            </w:pPr>
          </w:p>
        </w:tc>
      </w:tr>
      <w:tr w:rsidR="00333FAA" w:rsidRPr="00426DF3" w14:paraId="61DC737D" w14:textId="77777777" w:rsidTr="00EB3CF0">
        <w:tc>
          <w:tcPr>
            <w:tcW w:w="3456" w:type="dxa"/>
          </w:tcPr>
          <w:p w14:paraId="61DC7377"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1DC7378" w14:textId="1DFCAE25" w:rsidR="001C7E35" w:rsidRPr="00426DF3" w:rsidRDefault="001C7E35" w:rsidP="001C7E35">
            <w:pPr>
              <w:pStyle w:val="Infotext"/>
              <w:rPr>
                <w:rFonts w:cs="Arial"/>
                <w:sz w:val="24"/>
                <w:szCs w:val="24"/>
              </w:rPr>
            </w:pPr>
            <w:r w:rsidRPr="00426DF3">
              <w:rPr>
                <w:rFonts w:cs="Arial"/>
                <w:sz w:val="24"/>
                <w:szCs w:val="24"/>
              </w:rPr>
              <w:t xml:space="preserve">Yes </w:t>
            </w:r>
          </w:p>
          <w:p w14:paraId="5710C867" w14:textId="77777777" w:rsidR="00333FAA" w:rsidRPr="00426DF3" w:rsidRDefault="00333FAA" w:rsidP="0017416D">
            <w:pPr>
              <w:pStyle w:val="Infotext"/>
              <w:rPr>
                <w:rFonts w:cs="Arial"/>
                <w:sz w:val="24"/>
                <w:szCs w:val="24"/>
              </w:rPr>
            </w:pPr>
          </w:p>
          <w:p w14:paraId="1FF1182D" w14:textId="64150C51" w:rsidR="0017416D" w:rsidRPr="00426DF3" w:rsidRDefault="0017416D" w:rsidP="0017416D">
            <w:pPr>
              <w:pStyle w:val="Infotext"/>
              <w:rPr>
                <w:rFonts w:cs="Arial"/>
                <w:sz w:val="24"/>
                <w:szCs w:val="24"/>
              </w:rPr>
            </w:pPr>
            <w:r w:rsidRPr="00426DF3">
              <w:rPr>
                <w:rFonts w:cs="Arial"/>
                <w:sz w:val="24"/>
                <w:szCs w:val="24"/>
              </w:rPr>
              <w:t>This decision is Key because it is likely to:</w:t>
            </w:r>
          </w:p>
          <w:p w14:paraId="168667E1" w14:textId="3D4BDE28" w:rsidR="0017416D" w:rsidRPr="00426DF3" w:rsidRDefault="0017416D" w:rsidP="0017416D">
            <w:pPr>
              <w:pStyle w:val="Infotext"/>
              <w:rPr>
                <w:rFonts w:cs="Arial"/>
                <w:sz w:val="24"/>
                <w:szCs w:val="24"/>
              </w:rPr>
            </w:pPr>
          </w:p>
          <w:p w14:paraId="22967FF2" w14:textId="35B18EA6" w:rsidR="0017416D" w:rsidRPr="00426DF3" w:rsidRDefault="00CB6BE3" w:rsidP="00D95BC4">
            <w:pPr>
              <w:pStyle w:val="Infotext"/>
              <w:numPr>
                <w:ilvl w:val="0"/>
                <w:numId w:val="1"/>
              </w:numPr>
              <w:rPr>
                <w:rFonts w:cs="Arial"/>
                <w:sz w:val="24"/>
                <w:szCs w:val="24"/>
              </w:rPr>
            </w:pPr>
            <w:r w:rsidRPr="00426DF3">
              <w:rPr>
                <w:rFonts w:cs="Arial"/>
                <w:sz w:val="24"/>
                <w:szCs w:val="24"/>
              </w:rPr>
              <w:t>be significant in terms of its effect on communities living or working in an area of two or more wards of the Borough.</w:t>
            </w:r>
          </w:p>
          <w:p w14:paraId="61DC737C" w14:textId="39E4F754" w:rsidR="0017416D" w:rsidRPr="00426DF3" w:rsidRDefault="0017416D" w:rsidP="0017416D">
            <w:pPr>
              <w:pStyle w:val="Infotext"/>
              <w:rPr>
                <w:rFonts w:cs="Arial"/>
                <w:sz w:val="24"/>
                <w:szCs w:val="24"/>
              </w:rPr>
            </w:pPr>
          </w:p>
        </w:tc>
      </w:tr>
      <w:tr w:rsidR="001C7E35" w14:paraId="61DC7381" w14:textId="77777777" w:rsidTr="00EB3CF0">
        <w:tc>
          <w:tcPr>
            <w:tcW w:w="3456" w:type="dxa"/>
          </w:tcPr>
          <w:p w14:paraId="61DC737E"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1DC737F" w14:textId="19729354" w:rsidR="001C7E35" w:rsidRDefault="0017416D" w:rsidP="00D835CF">
            <w:pPr>
              <w:pStyle w:val="Infotext"/>
              <w:rPr>
                <w:rFonts w:cs="Arial"/>
                <w:sz w:val="24"/>
                <w:szCs w:val="24"/>
              </w:rPr>
            </w:pPr>
            <w:r>
              <w:rPr>
                <w:rFonts w:cs="Arial"/>
                <w:sz w:val="24"/>
                <w:szCs w:val="24"/>
              </w:rPr>
              <w:t>Nick Powell</w:t>
            </w:r>
            <w:r w:rsidR="00FD10F9">
              <w:rPr>
                <w:rFonts w:cs="Arial"/>
                <w:sz w:val="24"/>
                <w:szCs w:val="24"/>
              </w:rPr>
              <w:t xml:space="preserve">- </w:t>
            </w:r>
            <w:r>
              <w:rPr>
                <w:rFonts w:cs="Arial"/>
                <w:sz w:val="24"/>
                <w:szCs w:val="24"/>
              </w:rPr>
              <w:t>Divisional Director- Housing</w:t>
            </w:r>
          </w:p>
          <w:p w14:paraId="27FCA47B" w14:textId="658D70BD" w:rsidR="0017416D" w:rsidRPr="005E3A10" w:rsidRDefault="0017416D" w:rsidP="00D835CF">
            <w:pPr>
              <w:pStyle w:val="Infotext"/>
              <w:rPr>
                <w:rFonts w:cs="Arial"/>
                <w:sz w:val="24"/>
                <w:szCs w:val="24"/>
              </w:rPr>
            </w:pPr>
            <w:r>
              <w:rPr>
                <w:rFonts w:cs="Arial"/>
                <w:sz w:val="24"/>
                <w:szCs w:val="24"/>
              </w:rPr>
              <w:t>Housing Services</w:t>
            </w:r>
            <w:r w:rsidR="00FD10F9">
              <w:rPr>
                <w:rFonts w:cs="Arial"/>
                <w:sz w:val="24"/>
                <w:szCs w:val="24"/>
              </w:rPr>
              <w:t xml:space="preserve">, </w:t>
            </w:r>
            <w:r>
              <w:rPr>
                <w:rFonts w:cs="Arial"/>
                <w:sz w:val="24"/>
                <w:szCs w:val="24"/>
              </w:rPr>
              <w:t>Community Directorate</w:t>
            </w:r>
          </w:p>
          <w:p w14:paraId="61DC7380" w14:textId="77777777" w:rsidR="001C7E35" w:rsidRPr="005E3A10" w:rsidRDefault="001C7E35" w:rsidP="00D835CF">
            <w:pPr>
              <w:pStyle w:val="Infotext"/>
              <w:rPr>
                <w:rFonts w:cs="Arial"/>
                <w:sz w:val="24"/>
                <w:szCs w:val="24"/>
              </w:rPr>
            </w:pPr>
          </w:p>
        </w:tc>
      </w:tr>
      <w:tr w:rsidR="001C7E35" w14:paraId="61DC7385" w14:textId="77777777" w:rsidTr="00EB3CF0">
        <w:tc>
          <w:tcPr>
            <w:tcW w:w="3456" w:type="dxa"/>
          </w:tcPr>
          <w:p w14:paraId="61DC7382"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4F43D394" w14:textId="2FAD7A88" w:rsidR="003145B9" w:rsidRDefault="003145B9" w:rsidP="00D835CF">
            <w:pPr>
              <w:pStyle w:val="Infotext"/>
              <w:rPr>
                <w:rFonts w:cs="Arial"/>
                <w:sz w:val="24"/>
                <w:szCs w:val="24"/>
              </w:rPr>
            </w:pPr>
            <w:r>
              <w:rPr>
                <w:rFonts w:cs="Arial"/>
                <w:sz w:val="24"/>
                <w:szCs w:val="24"/>
              </w:rPr>
              <w:t>Councillor Phillip O’Dell</w:t>
            </w:r>
            <w:r w:rsidR="00FD10F9">
              <w:rPr>
                <w:rFonts w:cs="Arial"/>
                <w:sz w:val="24"/>
                <w:szCs w:val="24"/>
              </w:rPr>
              <w:t xml:space="preserve"> - </w:t>
            </w:r>
            <w:r w:rsidR="001C7E35" w:rsidRPr="005E3A10">
              <w:rPr>
                <w:rFonts w:cs="Arial"/>
                <w:sz w:val="24"/>
                <w:szCs w:val="24"/>
              </w:rPr>
              <w:t xml:space="preserve">Portfolio Holder </w:t>
            </w:r>
            <w:r>
              <w:rPr>
                <w:rFonts w:cs="Arial"/>
                <w:sz w:val="24"/>
                <w:szCs w:val="24"/>
              </w:rPr>
              <w:t>for Housing</w:t>
            </w:r>
          </w:p>
          <w:p w14:paraId="61DC7384" w14:textId="366B3D82" w:rsidR="001C7E35" w:rsidRPr="005E3A10" w:rsidRDefault="001C7E35" w:rsidP="00D835CF">
            <w:pPr>
              <w:pStyle w:val="Infotext"/>
              <w:rPr>
                <w:rFonts w:cs="Arial"/>
                <w:color w:val="FF0000"/>
                <w:sz w:val="24"/>
                <w:szCs w:val="24"/>
              </w:rPr>
            </w:pPr>
          </w:p>
        </w:tc>
      </w:tr>
      <w:tr w:rsidR="001C7E35" w14:paraId="61DC738B" w14:textId="77777777" w:rsidTr="00EB3CF0">
        <w:tc>
          <w:tcPr>
            <w:tcW w:w="3456" w:type="dxa"/>
          </w:tcPr>
          <w:p w14:paraId="61DC7386"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61DC7387" w14:textId="284F21BB" w:rsidR="001C7E35" w:rsidRPr="005E3A10" w:rsidRDefault="001C7E35" w:rsidP="00D835CF">
            <w:pPr>
              <w:pStyle w:val="Infotext"/>
              <w:rPr>
                <w:rFonts w:cs="Arial"/>
                <w:sz w:val="24"/>
                <w:szCs w:val="24"/>
              </w:rPr>
            </w:pPr>
            <w:r w:rsidRPr="005E3A10">
              <w:rPr>
                <w:rFonts w:cs="Arial"/>
                <w:sz w:val="24"/>
                <w:szCs w:val="24"/>
              </w:rPr>
              <w:t>No</w:t>
            </w:r>
          </w:p>
          <w:p w14:paraId="61DC738A" w14:textId="77777777" w:rsidR="001C7E35" w:rsidRPr="005E3A10" w:rsidRDefault="001C7E35" w:rsidP="00D835CF">
            <w:pPr>
              <w:pStyle w:val="Infotext"/>
              <w:rPr>
                <w:rFonts w:cs="Arial"/>
                <w:color w:val="FF0000"/>
                <w:sz w:val="24"/>
                <w:szCs w:val="24"/>
              </w:rPr>
            </w:pPr>
          </w:p>
        </w:tc>
      </w:tr>
      <w:tr w:rsidR="001C7E35" w14:paraId="61DC7390" w14:textId="77777777" w:rsidTr="00EB3CF0">
        <w:tc>
          <w:tcPr>
            <w:tcW w:w="3456" w:type="dxa"/>
          </w:tcPr>
          <w:p w14:paraId="61DC738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61DC738D" w14:textId="58325718" w:rsidR="001C7E35" w:rsidRPr="005E3A10" w:rsidRDefault="001C7E35" w:rsidP="00D835CF">
            <w:pPr>
              <w:pStyle w:val="Infotext"/>
              <w:rPr>
                <w:rFonts w:cs="Arial"/>
                <w:sz w:val="24"/>
                <w:szCs w:val="24"/>
              </w:rPr>
            </w:pPr>
            <w:r w:rsidRPr="005E3A10">
              <w:rPr>
                <w:rFonts w:cs="Arial"/>
                <w:sz w:val="24"/>
                <w:szCs w:val="24"/>
              </w:rPr>
              <w:t>Yes</w:t>
            </w:r>
          </w:p>
          <w:p w14:paraId="61DC738E" w14:textId="278E5475" w:rsidR="001C7E35" w:rsidRPr="005E3A10" w:rsidRDefault="001C7E35" w:rsidP="00D835CF">
            <w:pPr>
              <w:rPr>
                <w:rFonts w:cs="Arial"/>
                <w:szCs w:val="24"/>
              </w:rPr>
            </w:pPr>
          </w:p>
          <w:p w14:paraId="61DC738F" w14:textId="77777777" w:rsidR="00714BEE" w:rsidRPr="005E3A10" w:rsidRDefault="00714BEE" w:rsidP="00D835CF">
            <w:pPr>
              <w:rPr>
                <w:rFonts w:cs="Arial"/>
                <w:szCs w:val="24"/>
              </w:rPr>
            </w:pPr>
          </w:p>
        </w:tc>
      </w:tr>
      <w:tr w:rsidR="001C7E35" w14:paraId="61DC7394" w14:textId="77777777" w:rsidTr="00EB3CF0">
        <w:tc>
          <w:tcPr>
            <w:tcW w:w="3456" w:type="dxa"/>
          </w:tcPr>
          <w:p w14:paraId="61DC7391"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61DC7392" w14:textId="2E9387F8" w:rsidR="001C7E35" w:rsidRDefault="008E1477" w:rsidP="00D835CF">
            <w:pPr>
              <w:rPr>
                <w:rFonts w:cs="Arial"/>
                <w:szCs w:val="24"/>
              </w:rPr>
            </w:pPr>
            <w:r>
              <w:rPr>
                <w:rFonts w:cs="Arial"/>
                <w:szCs w:val="24"/>
              </w:rPr>
              <w:t>All w</w:t>
            </w:r>
            <w:r w:rsidR="001C7E35" w:rsidRPr="005E3A10">
              <w:rPr>
                <w:rFonts w:cs="Arial"/>
                <w:szCs w:val="24"/>
              </w:rPr>
              <w:t>ard</w:t>
            </w:r>
            <w:r>
              <w:rPr>
                <w:rFonts w:cs="Arial"/>
                <w:szCs w:val="24"/>
              </w:rPr>
              <w:t>s</w:t>
            </w:r>
          </w:p>
          <w:p w14:paraId="61DC7393" w14:textId="3088338F" w:rsidR="00307F76" w:rsidRPr="00307F76" w:rsidRDefault="00307F76" w:rsidP="00D835CF">
            <w:pPr>
              <w:rPr>
                <w:rFonts w:cs="Arial"/>
                <w:b/>
                <w:color w:val="FF0000"/>
                <w:szCs w:val="24"/>
              </w:rPr>
            </w:pPr>
          </w:p>
        </w:tc>
      </w:tr>
      <w:tr w:rsidR="001C7E35" w14:paraId="61DC7398" w14:textId="77777777" w:rsidTr="00EB3CF0">
        <w:tc>
          <w:tcPr>
            <w:tcW w:w="3456" w:type="dxa"/>
          </w:tcPr>
          <w:p w14:paraId="61DC7395"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23D3F22A" w14:textId="5208884E" w:rsidR="00E31169" w:rsidRDefault="00A619BC" w:rsidP="00DB6C3D">
            <w:pPr>
              <w:pStyle w:val="Infotext"/>
              <w:rPr>
                <w:sz w:val="24"/>
                <w:szCs w:val="24"/>
              </w:rPr>
            </w:pPr>
            <w:r>
              <w:rPr>
                <w:sz w:val="24"/>
                <w:szCs w:val="24"/>
              </w:rPr>
              <w:t xml:space="preserve">Appendix 1- </w:t>
            </w:r>
            <w:r w:rsidR="00AA46C1">
              <w:rPr>
                <w:sz w:val="24"/>
                <w:szCs w:val="24"/>
              </w:rPr>
              <w:t>Amended</w:t>
            </w:r>
            <w:r w:rsidR="006124C7">
              <w:rPr>
                <w:sz w:val="24"/>
                <w:szCs w:val="24"/>
              </w:rPr>
              <w:t xml:space="preserve"> </w:t>
            </w:r>
            <w:r w:rsidR="00E31169">
              <w:rPr>
                <w:sz w:val="24"/>
                <w:szCs w:val="24"/>
              </w:rPr>
              <w:t>Housing Allocation Scheme</w:t>
            </w:r>
          </w:p>
          <w:p w14:paraId="6C891EDE" w14:textId="49634F2B" w:rsidR="00E31169" w:rsidRDefault="00A619BC" w:rsidP="00DB6C3D">
            <w:pPr>
              <w:pStyle w:val="Infotext"/>
              <w:rPr>
                <w:sz w:val="24"/>
                <w:szCs w:val="24"/>
              </w:rPr>
            </w:pPr>
            <w:r>
              <w:rPr>
                <w:sz w:val="24"/>
                <w:szCs w:val="24"/>
              </w:rPr>
              <w:t xml:space="preserve">Appendix 2- </w:t>
            </w:r>
            <w:r w:rsidR="006124C7">
              <w:rPr>
                <w:sz w:val="24"/>
                <w:szCs w:val="24"/>
              </w:rPr>
              <w:t xml:space="preserve">Proposed </w:t>
            </w:r>
            <w:r w:rsidR="00E31169">
              <w:rPr>
                <w:sz w:val="24"/>
                <w:szCs w:val="24"/>
              </w:rPr>
              <w:t>Tenancy Strategy &amp; Policy</w:t>
            </w:r>
          </w:p>
          <w:p w14:paraId="24AE6B1D" w14:textId="3988A393" w:rsidR="00E31169" w:rsidRDefault="00A619BC" w:rsidP="00DB6C3D">
            <w:pPr>
              <w:pStyle w:val="Infotext"/>
              <w:rPr>
                <w:sz w:val="24"/>
                <w:szCs w:val="24"/>
              </w:rPr>
            </w:pPr>
            <w:r>
              <w:rPr>
                <w:sz w:val="24"/>
                <w:szCs w:val="24"/>
              </w:rPr>
              <w:t xml:space="preserve">Appendix 3- </w:t>
            </w:r>
            <w:r w:rsidR="00E31169">
              <w:rPr>
                <w:sz w:val="24"/>
                <w:szCs w:val="24"/>
              </w:rPr>
              <w:t>EqIA</w:t>
            </w:r>
          </w:p>
          <w:p w14:paraId="36ECE8D5" w14:textId="2B204EE0" w:rsidR="00A619BC" w:rsidRDefault="00A619BC" w:rsidP="00DB6C3D">
            <w:pPr>
              <w:pStyle w:val="Infotext"/>
              <w:rPr>
                <w:sz w:val="24"/>
                <w:szCs w:val="24"/>
              </w:rPr>
            </w:pPr>
            <w:r>
              <w:rPr>
                <w:sz w:val="24"/>
                <w:szCs w:val="24"/>
              </w:rPr>
              <w:t>Appendix 4- Tenancy Management challenges</w:t>
            </w:r>
          </w:p>
          <w:p w14:paraId="07CE6229" w14:textId="6967CB3F" w:rsidR="00F21DB7" w:rsidRDefault="00A619BC" w:rsidP="00DB6C3D">
            <w:pPr>
              <w:pStyle w:val="Infotext"/>
              <w:rPr>
                <w:sz w:val="24"/>
                <w:szCs w:val="24"/>
              </w:rPr>
            </w:pPr>
            <w:r>
              <w:rPr>
                <w:sz w:val="24"/>
                <w:szCs w:val="24"/>
              </w:rPr>
              <w:t xml:space="preserve">Appendix 5- </w:t>
            </w:r>
            <w:r w:rsidR="00F21DB7">
              <w:rPr>
                <w:sz w:val="24"/>
                <w:szCs w:val="24"/>
              </w:rPr>
              <w:t>Summary of consultation</w:t>
            </w:r>
          </w:p>
          <w:p w14:paraId="61DC7397" w14:textId="117EC291" w:rsidR="00FE4B8C" w:rsidRPr="005961B7" w:rsidRDefault="00FE4B8C" w:rsidP="00DB6C3D">
            <w:pPr>
              <w:pStyle w:val="Infotext"/>
              <w:rPr>
                <w:sz w:val="24"/>
                <w:szCs w:val="24"/>
              </w:rPr>
            </w:pPr>
          </w:p>
        </w:tc>
      </w:tr>
    </w:tbl>
    <w:p w14:paraId="3A5360DB" w14:textId="46FAEA53" w:rsidR="004833CB" w:rsidRDefault="004833CB">
      <w:pPr>
        <w:rPr>
          <w:rFonts w:cs="Arial"/>
        </w:rPr>
      </w:pPr>
    </w:p>
    <w:p w14:paraId="6EEB28F6" w14:textId="77777777" w:rsidR="00944111" w:rsidRDefault="00944111">
      <w:pPr>
        <w:rPr>
          <w:rFonts w:cs="Arial"/>
        </w:rPr>
      </w:pPr>
    </w:p>
    <w:p w14:paraId="6A3D06BB" w14:textId="77777777" w:rsidR="007C0902" w:rsidRDefault="007C0902">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61DC739B" w14:textId="77777777" w:rsidTr="00221A93">
        <w:trPr>
          <w:tblHeader/>
        </w:trPr>
        <w:tc>
          <w:tcPr>
            <w:tcW w:w="8525" w:type="dxa"/>
            <w:tcBorders>
              <w:top w:val="nil"/>
              <w:left w:val="nil"/>
              <w:right w:val="nil"/>
            </w:tcBorders>
          </w:tcPr>
          <w:p w14:paraId="61DC739A" w14:textId="4E13D772" w:rsidR="00333FAA" w:rsidRDefault="00333FAA" w:rsidP="00605A4C">
            <w:pPr>
              <w:pStyle w:val="Heading2"/>
              <w:spacing w:after="240"/>
            </w:pPr>
            <w:r>
              <w:lastRenderedPageBreak/>
              <w:t>Section 1 – Summary and Recommendations</w:t>
            </w:r>
          </w:p>
        </w:tc>
      </w:tr>
      <w:tr w:rsidR="00333FAA" w14:paraId="61DC73A4" w14:textId="77777777" w:rsidTr="00221A93">
        <w:trPr>
          <w:tblHeader/>
        </w:trPr>
        <w:tc>
          <w:tcPr>
            <w:tcW w:w="8525" w:type="dxa"/>
          </w:tcPr>
          <w:p w14:paraId="61DC739C" w14:textId="3CF22EDC" w:rsidR="001C7E35" w:rsidRPr="003E7D6C" w:rsidRDefault="001C7E35" w:rsidP="00944111">
            <w:pPr>
              <w:jc w:val="both"/>
            </w:pPr>
            <w:r w:rsidRPr="003E7D6C">
              <w:t>This report sets out</w:t>
            </w:r>
            <w:r w:rsidR="00CD64C0" w:rsidRPr="003E7D6C">
              <w:t xml:space="preserve"> the second part of the review of the housing and homelessness strategies</w:t>
            </w:r>
            <w:r w:rsidR="00EC2CD1">
              <w:t xml:space="preserve">, comprising </w:t>
            </w:r>
            <w:r w:rsidR="006571E4" w:rsidRPr="003E7D6C">
              <w:t>the Housing Allocation Scheme and the Tenancy Strategy &amp; Policy.</w:t>
            </w:r>
          </w:p>
          <w:p w14:paraId="61DC739D" w14:textId="77777777" w:rsidR="001C7E35" w:rsidRPr="00605A4C" w:rsidRDefault="00605A4C" w:rsidP="00944111">
            <w:pPr>
              <w:pStyle w:val="Heading3"/>
              <w:spacing w:before="240"/>
            </w:pPr>
            <w:r>
              <w:t>Recommen</w:t>
            </w:r>
            <w:r w:rsidR="001C7E35" w:rsidRPr="00605A4C">
              <w:t xml:space="preserve">dations: </w:t>
            </w:r>
          </w:p>
          <w:p w14:paraId="5A587516" w14:textId="77777777" w:rsidR="00FC7DD0" w:rsidRDefault="00FC7DD0" w:rsidP="00944111">
            <w:pPr>
              <w:jc w:val="both"/>
            </w:pPr>
          </w:p>
          <w:p w14:paraId="684812E0" w14:textId="78CBD18C" w:rsidR="00FC7DD0" w:rsidRDefault="001C7E35" w:rsidP="00944111">
            <w:pPr>
              <w:jc w:val="both"/>
            </w:pPr>
            <w:r>
              <w:t>Cabinet is requested to</w:t>
            </w:r>
            <w:r w:rsidR="00FC7DD0">
              <w:t>:</w:t>
            </w:r>
            <w:r w:rsidR="002D00E6">
              <w:t xml:space="preserve"> </w:t>
            </w:r>
          </w:p>
          <w:p w14:paraId="68656F15" w14:textId="77777777" w:rsidR="00FC7DD0" w:rsidRDefault="00FC7DD0" w:rsidP="00944111">
            <w:pPr>
              <w:jc w:val="both"/>
            </w:pPr>
          </w:p>
          <w:p w14:paraId="667E20FC" w14:textId="02FF9B32" w:rsidR="00FC7DD0" w:rsidRDefault="004F16EA" w:rsidP="00D95BC4">
            <w:pPr>
              <w:pStyle w:val="ListParagraph"/>
              <w:numPr>
                <w:ilvl w:val="0"/>
                <w:numId w:val="13"/>
              </w:numPr>
              <w:jc w:val="both"/>
            </w:pPr>
            <w:r>
              <w:t xml:space="preserve">Approve </w:t>
            </w:r>
            <w:r w:rsidR="002D00E6">
              <w:t xml:space="preserve">the </w:t>
            </w:r>
            <w:r w:rsidR="00AA46C1">
              <w:t>amended</w:t>
            </w:r>
            <w:r w:rsidR="002D00E6">
              <w:t xml:space="preserve"> Housing Allocation Scheme</w:t>
            </w:r>
            <w:r w:rsidR="00FC7DD0">
              <w:t xml:space="preserve">; </w:t>
            </w:r>
          </w:p>
          <w:p w14:paraId="6AAE54A5" w14:textId="00EF98AD" w:rsidR="00FC7DD0" w:rsidRDefault="004F16EA" w:rsidP="00D95BC4">
            <w:pPr>
              <w:pStyle w:val="ListParagraph"/>
              <w:numPr>
                <w:ilvl w:val="0"/>
                <w:numId w:val="13"/>
              </w:numPr>
              <w:jc w:val="both"/>
            </w:pPr>
            <w:r>
              <w:t xml:space="preserve">Approve the </w:t>
            </w:r>
            <w:r w:rsidR="00324BD9">
              <w:t xml:space="preserve">proposed </w:t>
            </w:r>
            <w:r w:rsidR="002D00E6">
              <w:t xml:space="preserve">Tenancy Strategy &amp; </w:t>
            </w:r>
            <w:r w:rsidR="003F6A64">
              <w:t>Policy</w:t>
            </w:r>
            <w:r w:rsidR="00F84837">
              <w:t>, including the proposal to end the use of flexible tenancies for general needs council lettings</w:t>
            </w:r>
            <w:r w:rsidR="00FC7DD0">
              <w:t xml:space="preserve">; and </w:t>
            </w:r>
          </w:p>
          <w:p w14:paraId="269A88E6" w14:textId="6AAB4E60" w:rsidR="000524E6" w:rsidRPr="004F16EA" w:rsidRDefault="00FC7DD0" w:rsidP="00D95BC4">
            <w:pPr>
              <w:pStyle w:val="ListParagraph"/>
              <w:numPr>
                <w:ilvl w:val="0"/>
                <w:numId w:val="13"/>
              </w:numPr>
              <w:jc w:val="both"/>
              <w:rPr>
                <w:rFonts w:cs="Arial"/>
                <w:sz w:val="22"/>
              </w:rPr>
            </w:pPr>
            <w:r>
              <w:t>D</w:t>
            </w:r>
            <w:r w:rsidR="000524E6" w:rsidRPr="004F16EA">
              <w:rPr>
                <w:rFonts w:cs="Arial"/>
              </w:rPr>
              <w:t>elegate authority to the Divisional Director for Housing following consultation with the Portfolio Holder for Housing to 1) agree Local Lettings Plans and 2) update the financial limits for accessing social housing on a yearly basis.</w:t>
            </w:r>
          </w:p>
          <w:p w14:paraId="61DC73A1" w14:textId="77777777" w:rsidR="00591016" w:rsidRDefault="00591016" w:rsidP="00944111">
            <w:pPr>
              <w:jc w:val="both"/>
            </w:pPr>
          </w:p>
          <w:p w14:paraId="48E6CE8F" w14:textId="77777777" w:rsidR="003727C9" w:rsidRPr="007138D9" w:rsidRDefault="00E13BEF" w:rsidP="00944111">
            <w:pPr>
              <w:pStyle w:val="Heading3"/>
              <w:ind w:left="0" w:firstLine="0"/>
              <w:rPr>
                <w:b w:val="0"/>
                <w:sz w:val="24"/>
                <w:szCs w:val="24"/>
              </w:rPr>
            </w:pPr>
            <w:r>
              <w:t>Reason:</w:t>
            </w:r>
          </w:p>
          <w:p w14:paraId="58895888" w14:textId="77777777" w:rsidR="004F16EA" w:rsidRDefault="004F16EA" w:rsidP="00944111">
            <w:pPr>
              <w:pStyle w:val="Heading2"/>
              <w:spacing w:line="244" w:lineRule="auto"/>
              <w:ind w:right="364"/>
              <w:jc w:val="both"/>
              <w:rPr>
                <w:rFonts w:ascii="Arial" w:hAnsi="Arial"/>
                <w:b w:val="0"/>
                <w:sz w:val="24"/>
                <w:szCs w:val="24"/>
              </w:rPr>
            </w:pPr>
          </w:p>
          <w:p w14:paraId="4A840D92" w14:textId="39BAAFE6" w:rsidR="000E1B44" w:rsidRPr="007138D9" w:rsidRDefault="00B338A0" w:rsidP="00944111">
            <w:pPr>
              <w:pStyle w:val="Heading2"/>
              <w:spacing w:line="244" w:lineRule="auto"/>
              <w:ind w:right="364"/>
              <w:jc w:val="both"/>
              <w:rPr>
                <w:rFonts w:ascii="Arial" w:hAnsi="Arial"/>
                <w:b w:val="0"/>
                <w:sz w:val="24"/>
                <w:szCs w:val="24"/>
              </w:rPr>
            </w:pPr>
            <w:r w:rsidRPr="007138D9">
              <w:rPr>
                <w:rFonts w:ascii="Arial" w:hAnsi="Arial"/>
                <w:b w:val="0"/>
                <w:sz w:val="24"/>
                <w:szCs w:val="24"/>
              </w:rPr>
              <w:t xml:space="preserve">The Housing Allocation Scheme </w:t>
            </w:r>
            <w:r w:rsidR="000E1B44" w:rsidRPr="007138D9">
              <w:rPr>
                <w:rFonts w:ascii="Arial" w:hAnsi="Arial"/>
                <w:b w:val="0"/>
                <w:sz w:val="24"/>
                <w:szCs w:val="24"/>
              </w:rPr>
              <w:t>is a statutory requirement</w:t>
            </w:r>
            <w:r w:rsidR="00426DF3" w:rsidRPr="007138D9">
              <w:rPr>
                <w:rFonts w:ascii="Arial" w:hAnsi="Arial"/>
                <w:b w:val="0"/>
                <w:sz w:val="24"/>
                <w:szCs w:val="24"/>
              </w:rPr>
              <w:t xml:space="preserve"> </w:t>
            </w:r>
            <w:r w:rsidR="007138D9" w:rsidRPr="007138D9">
              <w:rPr>
                <w:rFonts w:ascii="Arial" w:hAnsi="Arial"/>
                <w:b w:val="0"/>
                <w:sz w:val="24"/>
                <w:szCs w:val="24"/>
              </w:rPr>
              <w:t>of Part VI of the Housing Act 1996 as amended by the Homelessness Act 2002 and the Localism Act 2011.</w:t>
            </w:r>
            <w:r w:rsidR="007138D9">
              <w:rPr>
                <w:rFonts w:ascii="Arial" w:hAnsi="Arial"/>
                <w:b w:val="0"/>
                <w:sz w:val="24"/>
                <w:szCs w:val="24"/>
              </w:rPr>
              <w:t xml:space="preserve"> </w:t>
            </w:r>
            <w:r w:rsidR="000E1B44" w:rsidRPr="007138D9">
              <w:rPr>
                <w:rFonts w:ascii="Arial" w:hAnsi="Arial"/>
                <w:b w:val="0"/>
                <w:sz w:val="24"/>
                <w:szCs w:val="24"/>
              </w:rPr>
              <w:t xml:space="preserve">The Tenancy Strategy </w:t>
            </w:r>
            <w:r w:rsidR="00EB50F5" w:rsidRPr="007138D9">
              <w:rPr>
                <w:rFonts w:ascii="Arial" w:hAnsi="Arial"/>
                <w:b w:val="0"/>
                <w:sz w:val="24"/>
                <w:szCs w:val="24"/>
              </w:rPr>
              <w:t>is a</w:t>
            </w:r>
            <w:r w:rsidR="000E1B44" w:rsidRPr="007138D9">
              <w:rPr>
                <w:rFonts w:ascii="Arial" w:hAnsi="Arial"/>
                <w:b w:val="0"/>
                <w:sz w:val="24"/>
                <w:szCs w:val="24"/>
              </w:rPr>
              <w:t xml:space="preserve"> statutory requirement</w:t>
            </w:r>
            <w:r w:rsidR="003E7D6C" w:rsidRPr="007138D9">
              <w:rPr>
                <w:rFonts w:ascii="Arial" w:hAnsi="Arial"/>
                <w:b w:val="0"/>
                <w:sz w:val="24"/>
                <w:szCs w:val="24"/>
              </w:rPr>
              <w:t xml:space="preserve"> under the Localism Act 2011</w:t>
            </w:r>
            <w:r w:rsidR="000E1B44" w:rsidRPr="007138D9">
              <w:rPr>
                <w:rFonts w:ascii="Arial" w:hAnsi="Arial"/>
                <w:b w:val="0"/>
                <w:sz w:val="24"/>
                <w:szCs w:val="24"/>
              </w:rPr>
              <w:t>.</w:t>
            </w:r>
            <w:r w:rsidR="00EB50F5" w:rsidRPr="007138D9">
              <w:rPr>
                <w:rFonts w:ascii="Arial" w:hAnsi="Arial"/>
                <w:b w:val="0"/>
                <w:sz w:val="24"/>
                <w:szCs w:val="24"/>
              </w:rPr>
              <w:t xml:space="preserve"> The Tenancy Policy is a requirement of the Tenancy Standard set by the Regulator of Social Housing.</w:t>
            </w:r>
          </w:p>
          <w:p w14:paraId="61DC73A3" w14:textId="77777777" w:rsidR="00333FAA" w:rsidRDefault="00333FAA" w:rsidP="00605A4C"/>
        </w:tc>
      </w:tr>
    </w:tbl>
    <w:p w14:paraId="61DC73A5" w14:textId="77777777" w:rsidR="00333FAA" w:rsidRDefault="00333FAA" w:rsidP="00944111">
      <w:pPr>
        <w:pStyle w:val="Heading2"/>
        <w:spacing w:before="480"/>
        <w:jc w:val="both"/>
      </w:pPr>
      <w:r>
        <w:t>Section 2 – Report</w:t>
      </w:r>
    </w:p>
    <w:p w14:paraId="61DC73A7" w14:textId="0096099C" w:rsidR="001C7E35" w:rsidRDefault="001C7E35" w:rsidP="00D95BC4">
      <w:pPr>
        <w:pStyle w:val="Heading3"/>
        <w:numPr>
          <w:ilvl w:val="0"/>
          <w:numId w:val="5"/>
        </w:numPr>
        <w:spacing w:before="240"/>
      </w:pPr>
      <w:r>
        <w:t>Introductory paragraph</w:t>
      </w:r>
    </w:p>
    <w:p w14:paraId="61DC73A8" w14:textId="28DE98DA" w:rsidR="001C7E35" w:rsidRDefault="001C7E35" w:rsidP="00944111">
      <w:pPr>
        <w:jc w:val="both"/>
      </w:pPr>
    </w:p>
    <w:p w14:paraId="17216F6D" w14:textId="278CE432" w:rsidR="00CE3F2A" w:rsidRPr="00CE3F2A" w:rsidRDefault="00CE3F2A" w:rsidP="00944111">
      <w:pPr>
        <w:jc w:val="both"/>
        <w:rPr>
          <w:b/>
          <w:bCs/>
        </w:rPr>
      </w:pPr>
      <w:r w:rsidRPr="00CE3F2A">
        <w:rPr>
          <w:b/>
          <w:bCs/>
        </w:rPr>
        <w:t>1.1</w:t>
      </w:r>
      <w:r w:rsidRPr="00CE3F2A">
        <w:rPr>
          <w:b/>
          <w:bCs/>
        </w:rPr>
        <w:tab/>
        <w:t>Introduction</w:t>
      </w:r>
    </w:p>
    <w:p w14:paraId="709A6EBD" w14:textId="77777777" w:rsidR="00CE3F2A" w:rsidRDefault="00CE3F2A" w:rsidP="00944111">
      <w:pPr>
        <w:jc w:val="both"/>
      </w:pPr>
    </w:p>
    <w:p w14:paraId="7E9AAFFE" w14:textId="6FF14CEF" w:rsidR="002A4FDE" w:rsidRDefault="002A4FDE" w:rsidP="00944111">
      <w:pPr>
        <w:jc w:val="both"/>
      </w:pPr>
      <w:r>
        <w:t>This report sets out the second part of the review of the housing and homelessness strategies.</w:t>
      </w:r>
    </w:p>
    <w:p w14:paraId="1EA5C427" w14:textId="5862C423" w:rsidR="006F1BC8" w:rsidRDefault="006F1BC8" w:rsidP="00944111">
      <w:pPr>
        <w:jc w:val="both"/>
      </w:pPr>
    </w:p>
    <w:p w14:paraId="600B66DA" w14:textId="16BA0EAC" w:rsidR="006F1BC8" w:rsidRDefault="006F1BC8" w:rsidP="00944111">
      <w:pPr>
        <w:jc w:val="both"/>
      </w:pPr>
      <w:r>
        <w:t>Cabinet is requested to approve the proposed changes to the Housing Allocation Scheme and the Tenancy Strategy &amp; Policy, which are statutory requirements</w:t>
      </w:r>
      <w:r w:rsidR="00F1681D">
        <w:t xml:space="preserve"> </w:t>
      </w:r>
      <w:r w:rsidR="00F1681D" w:rsidRPr="007138D9">
        <w:t xml:space="preserve">under </w:t>
      </w:r>
      <w:r w:rsidR="007138D9" w:rsidRPr="007138D9">
        <w:rPr>
          <w:rFonts w:cs="Arial"/>
          <w:szCs w:val="24"/>
        </w:rPr>
        <w:t>Part VI of the Housing Act 1996 (as amended by the Homelessness Act 2002 and the Localism Act 2011)</w:t>
      </w:r>
      <w:r w:rsidR="00EB50F5" w:rsidRPr="007138D9">
        <w:t>,</w:t>
      </w:r>
      <w:r w:rsidR="00EB50F5">
        <w:t xml:space="preserve"> </w:t>
      </w:r>
      <w:r w:rsidR="00CE7367">
        <w:t>the Localism Act 2011</w:t>
      </w:r>
      <w:r w:rsidR="00EB50F5">
        <w:t xml:space="preserve"> and the Tenancy Standard set by the Regulator of Social Housing</w:t>
      </w:r>
      <w:r>
        <w:t xml:space="preserve">. </w:t>
      </w:r>
    </w:p>
    <w:p w14:paraId="3D020D7F" w14:textId="12CC973B" w:rsidR="004D610E" w:rsidRDefault="004D610E" w:rsidP="00944111">
      <w:pPr>
        <w:jc w:val="both"/>
      </w:pPr>
    </w:p>
    <w:p w14:paraId="32E619E3" w14:textId="5740BA43" w:rsidR="009B5D0E" w:rsidRPr="00AD251A" w:rsidRDefault="004D610E" w:rsidP="00944111">
      <w:pPr>
        <w:jc w:val="both"/>
        <w:rPr>
          <w:szCs w:val="24"/>
        </w:rPr>
      </w:pPr>
      <w:r w:rsidRPr="00AD251A">
        <w:rPr>
          <w:szCs w:val="24"/>
        </w:rPr>
        <w:t xml:space="preserve">The suite of housing and homelessness strategies </w:t>
      </w:r>
      <w:r w:rsidR="008E21A1" w:rsidRPr="00AD251A">
        <w:rPr>
          <w:szCs w:val="24"/>
        </w:rPr>
        <w:t xml:space="preserve">and policies </w:t>
      </w:r>
      <w:r w:rsidRPr="00AD251A">
        <w:rPr>
          <w:szCs w:val="24"/>
        </w:rPr>
        <w:t xml:space="preserve">sets out the Council’s priorities for housing in Harrow and responds to changes in the housing sector, including the </w:t>
      </w:r>
      <w:r w:rsidR="00D8771F">
        <w:rPr>
          <w:szCs w:val="24"/>
        </w:rPr>
        <w:t xml:space="preserve">Housing and Planning Act 2016 and the </w:t>
      </w:r>
      <w:r w:rsidRPr="00AD251A">
        <w:rPr>
          <w:szCs w:val="24"/>
        </w:rPr>
        <w:t>Homelessness Reduction Act 2017 (HRA 201</w:t>
      </w:r>
      <w:r w:rsidR="004B6D01" w:rsidRPr="00AD251A">
        <w:rPr>
          <w:szCs w:val="24"/>
        </w:rPr>
        <w:t xml:space="preserve">7). </w:t>
      </w:r>
    </w:p>
    <w:p w14:paraId="6D996FDC" w14:textId="77777777" w:rsidR="009B5D0E" w:rsidRDefault="009B5D0E" w:rsidP="00944111">
      <w:pPr>
        <w:jc w:val="both"/>
      </w:pPr>
    </w:p>
    <w:p w14:paraId="4DD280F5" w14:textId="318CAA1B" w:rsidR="004D610E" w:rsidRDefault="009B5D0E" w:rsidP="00944111">
      <w:pPr>
        <w:jc w:val="both"/>
      </w:pPr>
      <w:r>
        <w:lastRenderedPageBreak/>
        <w:t xml:space="preserve">The Housing Strategy and the Homelessness &amp; Rough Sleeping Strategy were approved by Cabinet in </w:t>
      </w:r>
      <w:r w:rsidR="00431061">
        <w:t xml:space="preserve">November </w:t>
      </w:r>
      <w:r>
        <w:t>2019.</w:t>
      </w:r>
    </w:p>
    <w:p w14:paraId="6EA4B6AC" w14:textId="625DEAEA" w:rsidR="004E357A" w:rsidRPr="006C20EA" w:rsidRDefault="004E4EC2" w:rsidP="00944111">
      <w:pPr>
        <w:autoSpaceDE w:val="0"/>
        <w:autoSpaceDN w:val="0"/>
        <w:spacing w:before="240"/>
        <w:jc w:val="both"/>
      </w:pPr>
      <w:r w:rsidRPr="006C20EA">
        <w:t xml:space="preserve">The </w:t>
      </w:r>
      <w:r w:rsidR="00B24827">
        <w:t xml:space="preserve">suite of </w:t>
      </w:r>
      <w:r w:rsidRPr="006C20EA">
        <w:t xml:space="preserve">housing and homelessness strategies </w:t>
      </w:r>
      <w:r w:rsidR="00B24827">
        <w:t xml:space="preserve">and policies </w:t>
      </w:r>
      <w:r w:rsidR="003D598D" w:rsidRPr="006C20EA">
        <w:t>help</w:t>
      </w:r>
      <w:r w:rsidR="00B24827">
        <w:t>s</w:t>
      </w:r>
      <w:r w:rsidR="003D598D" w:rsidRPr="006C20EA">
        <w:t xml:space="preserve"> the Council meet its </w:t>
      </w:r>
      <w:r w:rsidR="00430C20" w:rsidRPr="006C20EA">
        <w:t xml:space="preserve">vision and corporate </w:t>
      </w:r>
      <w:r w:rsidR="003D598D" w:rsidRPr="006C20EA">
        <w:t>priorities</w:t>
      </w:r>
      <w:r w:rsidR="00430C20" w:rsidRPr="006C20EA">
        <w:t xml:space="preserve">, particularly </w:t>
      </w:r>
      <w:r w:rsidR="006C20EA">
        <w:t>‘</w:t>
      </w:r>
      <w:r w:rsidR="0049594C" w:rsidRPr="006C20EA">
        <w:t>Improving the environment and addressing climate change</w:t>
      </w:r>
      <w:r w:rsidR="006C20EA">
        <w:t>’</w:t>
      </w:r>
      <w:r w:rsidR="0049594C" w:rsidRPr="006C20EA">
        <w:t xml:space="preserve">, </w:t>
      </w:r>
      <w:r w:rsidR="006C20EA">
        <w:t>‘</w:t>
      </w:r>
      <w:r w:rsidR="0049594C" w:rsidRPr="006C20EA">
        <w:t>Tackling poverty and inequality</w:t>
      </w:r>
      <w:r w:rsidR="006C20EA">
        <w:t>’</w:t>
      </w:r>
      <w:r w:rsidR="004E357A" w:rsidRPr="006C20EA">
        <w:t xml:space="preserve"> and</w:t>
      </w:r>
      <w:r w:rsidR="0049594C" w:rsidRPr="006C20EA">
        <w:t xml:space="preserve"> </w:t>
      </w:r>
      <w:r w:rsidR="006C20EA">
        <w:t>‘</w:t>
      </w:r>
      <w:r w:rsidR="004E357A" w:rsidRPr="006C20EA">
        <w:t>Building homes and infrastructure</w:t>
      </w:r>
      <w:r w:rsidR="006C20EA">
        <w:t>’</w:t>
      </w:r>
      <w:r w:rsidR="004E357A" w:rsidRPr="006C20EA">
        <w:t>.</w:t>
      </w:r>
    </w:p>
    <w:p w14:paraId="147D9986" w14:textId="77777777" w:rsidR="004833CB" w:rsidRPr="006C20EA" w:rsidRDefault="004833CB" w:rsidP="00944111">
      <w:pPr>
        <w:jc w:val="both"/>
      </w:pPr>
    </w:p>
    <w:p w14:paraId="5F28939B" w14:textId="20984159" w:rsidR="00D21CDB" w:rsidRDefault="00FF0AEC" w:rsidP="00944111">
      <w:pPr>
        <w:jc w:val="both"/>
      </w:pPr>
      <w:r>
        <w:t>The housing and homelessness strategies also assist Housing Services in meeting its priorities as detailed in the Smarter Housing Plan</w:t>
      </w:r>
      <w:r w:rsidR="00D21CDB">
        <w:t>.</w:t>
      </w:r>
    </w:p>
    <w:p w14:paraId="2CE99710" w14:textId="77777777" w:rsidR="00D21CDB" w:rsidRDefault="00D21CDB" w:rsidP="00944111">
      <w:pPr>
        <w:jc w:val="both"/>
      </w:pPr>
    </w:p>
    <w:p w14:paraId="4026FBF1" w14:textId="5A239D45" w:rsidR="000758E3" w:rsidRDefault="00D21CDB" w:rsidP="00944111">
      <w:pPr>
        <w:jc w:val="both"/>
      </w:pPr>
      <w:r>
        <w:t xml:space="preserve">The housing and homelessness strategies </w:t>
      </w:r>
      <w:r w:rsidR="00586116">
        <w:t xml:space="preserve">set out our </w:t>
      </w:r>
      <w:r w:rsidR="004B46BB">
        <w:t>aim</w:t>
      </w:r>
      <w:r w:rsidR="00586116">
        <w:t xml:space="preserve">s to ensure we have a supply of genuinely affordable housing to meet the needs of households in Harrow who cannot afford market housing and </w:t>
      </w:r>
      <w:r>
        <w:t xml:space="preserve">to </w:t>
      </w:r>
      <w:r w:rsidR="000758E3">
        <w:t>target</w:t>
      </w:r>
      <w:r w:rsidR="00816EE0">
        <w:t xml:space="preserve"> </w:t>
      </w:r>
      <w:r w:rsidR="00586116">
        <w:t xml:space="preserve">our </w:t>
      </w:r>
      <w:r w:rsidR="00816EE0">
        <w:t>limited resources</w:t>
      </w:r>
      <w:r w:rsidR="00586116">
        <w:t xml:space="preserve"> of existing affordable housing</w:t>
      </w:r>
      <w:r w:rsidR="00AA4313">
        <w:t xml:space="preserve">, </w:t>
      </w:r>
      <w:r w:rsidR="003175CB">
        <w:t>prioritise</w:t>
      </w:r>
      <w:r w:rsidR="001E2B5E">
        <w:t xml:space="preserve"> local</w:t>
      </w:r>
      <w:r w:rsidR="003175CB">
        <w:t xml:space="preserve"> </w:t>
      </w:r>
      <w:r w:rsidR="000758E3">
        <w:t>applicants</w:t>
      </w:r>
      <w:r w:rsidR="00AA4313">
        <w:t xml:space="preserve"> </w:t>
      </w:r>
      <w:r w:rsidR="001E2B5E">
        <w:t xml:space="preserve">with the greatest housing need </w:t>
      </w:r>
      <w:r w:rsidR="00AA4313">
        <w:t xml:space="preserve">and </w:t>
      </w:r>
      <w:r w:rsidR="001E2B5E">
        <w:t>meet the statutory duties placed on the Council as a local housing authority</w:t>
      </w:r>
      <w:r w:rsidR="000758E3">
        <w:t>.</w:t>
      </w:r>
    </w:p>
    <w:p w14:paraId="59A5F274" w14:textId="4E532B60" w:rsidR="002A66B4" w:rsidRDefault="002A66B4" w:rsidP="00944111">
      <w:pPr>
        <w:jc w:val="both"/>
      </w:pPr>
    </w:p>
    <w:p w14:paraId="78493C4A" w14:textId="3407056F" w:rsidR="004E4EC2" w:rsidRDefault="002A66B4" w:rsidP="00944111">
      <w:pPr>
        <w:jc w:val="both"/>
      </w:pPr>
      <w:r>
        <w:t xml:space="preserve">The documents reflect the priorities and feedback identified through consultation with stakeholders, including residents, officers, Members, Registered Providers </w:t>
      </w:r>
      <w:r w:rsidR="00EC3D0E">
        <w:t xml:space="preserve">(“RP”) </w:t>
      </w:r>
      <w:r>
        <w:t>(housing associations)</w:t>
      </w:r>
      <w:r w:rsidR="0052535D">
        <w:t xml:space="preserve"> and voluntary &amp; community sector organisations.</w:t>
      </w:r>
    </w:p>
    <w:p w14:paraId="4D94B571" w14:textId="121CB5AA" w:rsidR="00171163" w:rsidRDefault="00171163" w:rsidP="001C7E35"/>
    <w:p w14:paraId="7271E9F6" w14:textId="696AB984" w:rsidR="00F95E75" w:rsidRPr="00CE3F2A" w:rsidRDefault="00CE3F2A" w:rsidP="00944111">
      <w:pPr>
        <w:jc w:val="both"/>
        <w:rPr>
          <w:b/>
          <w:bCs/>
        </w:rPr>
      </w:pPr>
      <w:r w:rsidRPr="00CE3F2A">
        <w:rPr>
          <w:b/>
          <w:bCs/>
        </w:rPr>
        <w:t>1.2</w:t>
      </w:r>
      <w:r w:rsidRPr="00CE3F2A">
        <w:rPr>
          <w:b/>
          <w:bCs/>
        </w:rPr>
        <w:tab/>
      </w:r>
      <w:r w:rsidR="00F95E75" w:rsidRPr="00CE3F2A">
        <w:rPr>
          <w:b/>
          <w:bCs/>
        </w:rPr>
        <w:t>Housing Allocation Scheme</w:t>
      </w:r>
    </w:p>
    <w:p w14:paraId="2B41524B" w14:textId="77777777" w:rsidR="00F95E75" w:rsidRDefault="00F95E75" w:rsidP="00944111">
      <w:pPr>
        <w:jc w:val="both"/>
      </w:pPr>
    </w:p>
    <w:p w14:paraId="53378371" w14:textId="77777777" w:rsidR="007F5155" w:rsidRDefault="00171163" w:rsidP="00944111">
      <w:pPr>
        <w:jc w:val="both"/>
        <w:rPr>
          <w:rFonts w:cs="Arial"/>
        </w:rPr>
      </w:pPr>
      <w:r>
        <w:rPr>
          <w:rFonts w:cs="Arial"/>
        </w:rPr>
        <w:t xml:space="preserve">The Housing Allocation Scheme </w:t>
      </w:r>
      <w:r w:rsidRPr="000D52ED">
        <w:rPr>
          <w:rFonts w:cs="Arial"/>
        </w:rPr>
        <w:t>set</w:t>
      </w:r>
      <w:r>
        <w:rPr>
          <w:rFonts w:cs="Arial"/>
        </w:rPr>
        <w:t>s</w:t>
      </w:r>
      <w:r w:rsidRPr="000D52ED">
        <w:rPr>
          <w:rFonts w:cs="Arial"/>
        </w:rPr>
        <w:t xml:space="preserve"> out how </w:t>
      </w:r>
      <w:r>
        <w:rPr>
          <w:rFonts w:cs="Arial"/>
        </w:rPr>
        <w:t>the Council</w:t>
      </w:r>
      <w:r w:rsidRPr="000D52ED">
        <w:rPr>
          <w:rFonts w:cs="Arial"/>
        </w:rPr>
        <w:t xml:space="preserve"> will allocate the rented </w:t>
      </w:r>
      <w:r w:rsidR="00EF296A">
        <w:rPr>
          <w:rFonts w:cs="Arial"/>
        </w:rPr>
        <w:t xml:space="preserve">social </w:t>
      </w:r>
      <w:r w:rsidRPr="000D52ED">
        <w:rPr>
          <w:rFonts w:cs="Arial"/>
        </w:rPr>
        <w:t xml:space="preserve">housing which it owns and </w:t>
      </w:r>
      <w:r>
        <w:rPr>
          <w:rFonts w:cs="Arial"/>
        </w:rPr>
        <w:t xml:space="preserve">housing association properties </w:t>
      </w:r>
      <w:r w:rsidRPr="000D52ED">
        <w:rPr>
          <w:rFonts w:cs="Arial"/>
        </w:rPr>
        <w:t xml:space="preserve">to which it has nomination rights. </w:t>
      </w:r>
    </w:p>
    <w:p w14:paraId="7133F188" w14:textId="77777777" w:rsidR="007F5155" w:rsidRDefault="007F5155" w:rsidP="00944111">
      <w:pPr>
        <w:jc w:val="both"/>
        <w:rPr>
          <w:rFonts w:cs="Arial"/>
        </w:rPr>
      </w:pPr>
    </w:p>
    <w:p w14:paraId="3A425227" w14:textId="4A3C523E" w:rsidR="007F5155" w:rsidRDefault="007F5155" w:rsidP="00944111">
      <w:pPr>
        <w:jc w:val="both"/>
        <w:rPr>
          <w:rFonts w:cs="Arial"/>
        </w:rPr>
      </w:pPr>
      <w:r>
        <w:rPr>
          <w:rFonts w:cs="Arial"/>
        </w:rPr>
        <w:t>The scope of the Housing Allocation Scheme does not include homelessness accommodation (such as Emergency Accommodation and Temporary Accommodation) which is dealt with in the Homelessness &amp; Rough Sleeping Strategy.</w:t>
      </w:r>
      <w:r w:rsidR="00AA6B1C">
        <w:rPr>
          <w:rFonts w:cs="Arial"/>
        </w:rPr>
        <w:t xml:space="preserve"> It also excludes some</w:t>
      </w:r>
      <w:r w:rsidR="007F09FA">
        <w:rPr>
          <w:rFonts w:cs="Arial"/>
        </w:rPr>
        <w:t xml:space="preserve"> specific</w:t>
      </w:r>
      <w:r w:rsidR="00AA6B1C">
        <w:rPr>
          <w:rFonts w:cs="Arial"/>
        </w:rPr>
        <w:t xml:space="preserve"> types of social </w:t>
      </w:r>
      <w:r w:rsidR="00331CA1">
        <w:rPr>
          <w:rFonts w:cs="Arial"/>
        </w:rPr>
        <w:t>lettings</w:t>
      </w:r>
      <w:r w:rsidR="00AA6B1C">
        <w:rPr>
          <w:rFonts w:cs="Arial"/>
        </w:rPr>
        <w:t>, such as Extra Care Housing for Older People which is allocated in conjunction with an Adult Social Care panel</w:t>
      </w:r>
      <w:r w:rsidR="00AA6B1C" w:rsidRPr="00807EA9">
        <w:rPr>
          <w:rFonts w:cs="Arial"/>
        </w:rPr>
        <w:t>.</w:t>
      </w:r>
      <w:r w:rsidR="009A682F" w:rsidRPr="00807EA9">
        <w:rPr>
          <w:rFonts w:cs="Arial"/>
        </w:rPr>
        <w:t xml:space="preserve"> Other lettings that are outside of the scope of the Housing Allocation Scheme are listed in Appendix 14 of the current </w:t>
      </w:r>
      <w:r w:rsidR="00AD549D" w:rsidRPr="00807EA9">
        <w:rPr>
          <w:rFonts w:cs="Arial"/>
        </w:rPr>
        <w:t>scheme.</w:t>
      </w:r>
    </w:p>
    <w:p w14:paraId="17E64CA0" w14:textId="77777777" w:rsidR="007F5155" w:rsidRDefault="007F5155" w:rsidP="00944111">
      <w:pPr>
        <w:jc w:val="both"/>
        <w:rPr>
          <w:rFonts w:cs="Arial"/>
        </w:rPr>
      </w:pPr>
    </w:p>
    <w:p w14:paraId="675564D9" w14:textId="62890F66" w:rsidR="00171163" w:rsidRPr="00CE6AF5" w:rsidRDefault="007F5155" w:rsidP="00944111">
      <w:pPr>
        <w:jc w:val="both"/>
        <w:rPr>
          <w:rFonts w:cs="Arial"/>
        </w:rPr>
      </w:pPr>
      <w:r>
        <w:rPr>
          <w:rFonts w:cs="Arial"/>
        </w:rPr>
        <w:t xml:space="preserve">The Housing Allocation Scheme </w:t>
      </w:r>
      <w:r w:rsidR="00171163" w:rsidRPr="000D52ED">
        <w:rPr>
          <w:rFonts w:cs="Arial"/>
        </w:rPr>
        <w:t>explains the options for people looking for a home in the London Borough of Harrow, and sets out which groups of people are priorities for an allocation of the public rented housing made available by Harrow Council and housing associations</w:t>
      </w:r>
      <w:r w:rsidR="00171163">
        <w:rPr>
          <w:rFonts w:cs="Arial"/>
        </w:rPr>
        <w:t xml:space="preserve"> (registered providers)</w:t>
      </w:r>
      <w:r w:rsidR="00171163" w:rsidRPr="000D52ED">
        <w:rPr>
          <w:rFonts w:cs="Arial"/>
        </w:rPr>
        <w:t xml:space="preserve"> in our area. </w:t>
      </w:r>
    </w:p>
    <w:p w14:paraId="20EE0C2A" w14:textId="77777777" w:rsidR="00171163" w:rsidRDefault="00171163" w:rsidP="00944111">
      <w:pPr>
        <w:jc w:val="both"/>
      </w:pPr>
    </w:p>
    <w:p w14:paraId="29D844CB" w14:textId="1DA195DE" w:rsidR="00B72B00" w:rsidRPr="00853E22" w:rsidRDefault="00B72B00" w:rsidP="00944111">
      <w:pPr>
        <w:jc w:val="both"/>
        <w:rPr>
          <w:rFonts w:cs="Arial"/>
        </w:rPr>
      </w:pPr>
      <w:r w:rsidRPr="00853E22">
        <w:rPr>
          <w:rFonts w:cs="Arial"/>
        </w:rPr>
        <w:t>The aim of Harrow's housing allocation scheme is to</w:t>
      </w:r>
      <w:r w:rsidR="006F3E03">
        <w:rPr>
          <w:rFonts w:cs="Arial"/>
        </w:rPr>
        <w:t xml:space="preserve"> </w:t>
      </w:r>
      <w:r w:rsidRPr="00853E22">
        <w:rPr>
          <w:rFonts w:cs="Arial"/>
        </w:rPr>
        <w:t>meet local priority housing needs</w:t>
      </w:r>
      <w:r w:rsidR="006F3E03">
        <w:rPr>
          <w:rFonts w:cs="Arial"/>
        </w:rPr>
        <w:t xml:space="preserve">, </w:t>
      </w:r>
      <w:r w:rsidRPr="00853E22">
        <w:rPr>
          <w:rFonts w:cs="Arial"/>
        </w:rPr>
        <w:t>make the best use of Harrow’s very limited social housing stock</w:t>
      </w:r>
      <w:r w:rsidR="00F301E2">
        <w:rPr>
          <w:rFonts w:cs="Arial"/>
        </w:rPr>
        <w:t xml:space="preserve"> and </w:t>
      </w:r>
      <w:r w:rsidRPr="00853E22">
        <w:rPr>
          <w:rFonts w:cs="Arial"/>
        </w:rPr>
        <w:t xml:space="preserve">be fairer to all by ensuring that the relatively few </w:t>
      </w:r>
      <w:r w:rsidR="00B84878" w:rsidRPr="00853E22">
        <w:rPr>
          <w:rFonts w:cs="Arial"/>
        </w:rPr>
        <w:t>residents,</w:t>
      </w:r>
      <w:r w:rsidRPr="00853E22">
        <w:rPr>
          <w:rFonts w:cs="Arial"/>
        </w:rPr>
        <w:t xml:space="preserve"> who are in the most need of housing, wait a</w:t>
      </w:r>
      <w:r w:rsidR="002A7C40">
        <w:rPr>
          <w:rFonts w:cs="Arial"/>
        </w:rPr>
        <w:t xml:space="preserve">s </w:t>
      </w:r>
      <w:r w:rsidRPr="00853E22">
        <w:rPr>
          <w:rFonts w:cs="Arial"/>
        </w:rPr>
        <w:t>short</w:t>
      </w:r>
      <w:r w:rsidR="002A7C40">
        <w:rPr>
          <w:rFonts w:cs="Arial"/>
        </w:rPr>
        <w:t xml:space="preserve"> a</w:t>
      </w:r>
      <w:r w:rsidRPr="00853E22">
        <w:rPr>
          <w:rFonts w:cs="Arial"/>
        </w:rPr>
        <w:t xml:space="preserve"> time </w:t>
      </w:r>
      <w:r w:rsidR="002A7C40">
        <w:rPr>
          <w:rFonts w:cs="Arial"/>
        </w:rPr>
        <w:t xml:space="preserve">as possible </w:t>
      </w:r>
      <w:r w:rsidRPr="00853E22">
        <w:rPr>
          <w:rFonts w:cs="Arial"/>
        </w:rPr>
        <w:t xml:space="preserve">for an allocation of public rented housing. </w:t>
      </w:r>
    </w:p>
    <w:p w14:paraId="0A832B1D" w14:textId="1E2E5575" w:rsidR="00A9768D" w:rsidRDefault="00A9768D" w:rsidP="00944111">
      <w:pPr>
        <w:jc w:val="both"/>
      </w:pPr>
    </w:p>
    <w:p w14:paraId="729134CE" w14:textId="119277DF" w:rsidR="00F95E75" w:rsidRPr="00CE3F2A" w:rsidRDefault="00CE3F2A" w:rsidP="00944111">
      <w:pPr>
        <w:jc w:val="both"/>
        <w:rPr>
          <w:b/>
          <w:bCs/>
        </w:rPr>
      </w:pPr>
      <w:r w:rsidRPr="00CE3F2A">
        <w:rPr>
          <w:b/>
          <w:bCs/>
        </w:rPr>
        <w:t>1.3</w:t>
      </w:r>
      <w:r w:rsidRPr="00CE3F2A">
        <w:rPr>
          <w:b/>
          <w:bCs/>
        </w:rPr>
        <w:tab/>
      </w:r>
      <w:r w:rsidR="00F95E75" w:rsidRPr="00CE3F2A">
        <w:rPr>
          <w:b/>
          <w:bCs/>
        </w:rPr>
        <w:t>Tenancy Strategy</w:t>
      </w:r>
    </w:p>
    <w:p w14:paraId="6DE6262D" w14:textId="77777777" w:rsidR="00F95E75" w:rsidRDefault="00F95E75" w:rsidP="00944111">
      <w:pPr>
        <w:jc w:val="both"/>
      </w:pPr>
    </w:p>
    <w:p w14:paraId="6D48C2E5" w14:textId="6F5F4358" w:rsidR="00705C65" w:rsidRDefault="00705C65" w:rsidP="00944111">
      <w:pPr>
        <w:jc w:val="both"/>
        <w:rPr>
          <w:rFonts w:cs="Arial"/>
        </w:rPr>
      </w:pPr>
      <w:r w:rsidRPr="000D52ED">
        <w:rPr>
          <w:rFonts w:cs="Arial"/>
        </w:rPr>
        <w:t xml:space="preserve">The Tenancy Strategy sets out the expectations for all social landlords in the local area in relation to the types of tenancies that will be granted, the length </w:t>
      </w:r>
      <w:r w:rsidRPr="000D52ED">
        <w:rPr>
          <w:rFonts w:cs="Arial"/>
        </w:rPr>
        <w:lastRenderedPageBreak/>
        <w:t>of fixed</w:t>
      </w:r>
      <w:r w:rsidR="00E21559">
        <w:rPr>
          <w:rFonts w:cs="Arial"/>
        </w:rPr>
        <w:t>-</w:t>
      </w:r>
      <w:r w:rsidRPr="000D52ED">
        <w:rPr>
          <w:rFonts w:cs="Arial"/>
        </w:rPr>
        <w:t xml:space="preserve">term tenancies when these are granted, the circumstances under which a particular type of tenancy will be granted and the process for reviewing tenancies at the end of the fixed term and the circumstances under which a tenancy may or may not be renewed either in the same property or in a different property. </w:t>
      </w:r>
    </w:p>
    <w:p w14:paraId="1B69C600" w14:textId="7D6E9790" w:rsidR="00705C65" w:rsidRDefault="00705C65" w:rsidP="00944111">
      <w:pPr>
        <w:jc w:val="both"/>
        <w:rPr>
          <w:rFonts w:cs="Arial"/>
        </w:rPr>
      </w:pPr>
    </w:p>
    <w:p w14:paraId="16B96DDF" w14:textId="184752EA" w:rsidR="00F95E75" w:rsidRPr="00CE3F2A" w:rsidRDefault="00CE3F2A" w:rsidP="00944111">
      <w:pPr>
        <w:jc w:val="both"/>
        <w:rPr>
          <w:rFonts w:cs="Arial"/>
          <w:b/>
          <w:bCs/>
        </w:rPr>
      </w:pPr>
      <w:r w:rsidRPr="00CE3F2A">
        <w:rPr>
          <w:rFonts w:cs="Arial"/>
          <w:b/>
          <w:bCs/>
        </w:rPr>
        <w:t>1.4</w:t>
      </w:r>
      <w:r w:rsidRPr="00CE3F2A">
        <w:rPr>
          <w:rFonts w:cs="Arial"/>
          <w:b/>
          <w:bCs/>
        </w:rPr>
        <w:tab/>
      </w:r>
      <w:r w:rsidR="00F95E75" w:rsidRPr="00CE3F2A">
        <w:rPr>
          <w:rFonts w:cs="Arial"/>
          <w:b/>
          <w:bCs/>
        </w:rPr>
        <w:t>Tenancy Policy</w:t>
      </w:r>
    </w:p>
    <w:p w14:paraId="623355CA" w14:textId="77777777" w:rsidR="00F95E75" w:rsidRPr="000D52ED" w:rsidRDefault="00F95E75" w:rsidP="00944111">
      <w:pPr>
        <w:jc w:val="both"/>
        <w:rPr>
          <w:rFonts w:cs="Arial"/>
        </w:rPr>
      </w:pPr>
    </w:p>
    <w:p w14:paraId="4E8F4520" w14:textId="36C56C3D" w:rsidR="00944111" w:rsidRDefault="002D2B0A" w:rsidP="00944111">
      <w:pPr>
        <w:jc w:val="both"/>
        <w:rPr>
          <w:rFonts w:cs="Arial"/>
        </w:rPr>
      </w:pPr>
      <w:r>
        <w:rPr>
          <w:rFonts w:cs="Arial"/>
        </w:rPr>
        <w:t>As a social landlord, we are obliged to have our own Tenan</w:t>
      </w:r>
      <w:r w:rsidR="00062656">
        <w:rPr>
          <w:rFonts w:cs="Arial"/>
        </w:rPr>
        <w:t>cy</w:t>
      </w:r>
      <w:r>
        <w:rPr>
          <w:rFonts w:cs="Arial"/>
        </w:rPr>
        <w:t xml:space="preserve"> Policy which has regard to the Council’s </w:t>
      </w:r>
      <w:r w:rsidR="00EB50F5">
        <w:rPr>
          <w:rFonts w:cs="Arial"/>
        </w:rPr>
        <w:t xml:space="preserve">Tenancy </w:t>
      </w:r>
      <w:r>
        <w:rPr>
          <w:rFonts w:cs="Arial"/>
        </w:rPr>
        <w:t xml:space="preserve">Strategy. </w:t>
      </w:r>
      <w:r w:rsidR="00705C65" w:rsidRPr="000D52ED">
        <w:rPr>
          <w:rFonts w:cs="Arial"/>
        </w:rPr>
        <w:t>The Tenancy Policy should contain the way in which a tenant or prospective tenant may appeal or complain about the length and/or type of fixed</w:t>
      </w:r>
      <w:r w:rsidR="00E21559">
        <w:rPr>
          <w:rFonts w:cs="Arial"/>
        </w:rPr>
        <w:t>-</w:t>
      </w:r>
      <w:r w:rsidR="00705C65" w:rsidRPr="000D52ED">
        <w:rPr>
          <w:rFonts w:cs="Arial"/>
        </w:rPr>
        <w:t>term tenancy offered and a decision not to renew the tenancy at the end of the fixed term</w:t>
      </w:r>
      <w:r w:rsidR="00D32123">
        <w:rPr>
          <w:rFonts w:cs="Arial"/>
        </w:rPr>
        <w:t xml:space="preserve"> period</w:t>
      </w:r>
      <w:r w:rsidR="00705C65">
        <w:rPr>
          <w:rFonts w:cs="Arial"/>
        </w:rPr>
        <w:t>.</w:t>
      </w:r>
      <w:r w:rsidR="00705C65" w:rsidRPr="000D52ED">
        <w:rPr>
          <w:rFonts w:cs="Arial"/>
        </w:rPr>
        <w:t xml:space="preserve"> </w:t>
      </w:r>
      <w:r w:rsidR="00705C65">
        <w:rPr>
          <w:rFonts w:cs="Arial"/>
        </w:rPr>
        <w:t xml:space="preserve">It has information on </w:t>
      </w:r>
      <w:r w:rsidR="00705C65" w:rsidRPr="000D52ED">
        <w:rPr>
          <w:rFonts w:cs="Arial"/>
        </w:rPr>
        <w:t>how the need</w:t>
      </w:r>
      <w:r w:rsidR="00705C65">
        <w:rPr>
          <w:rFonts w:cs="Arial"/>
        </w:rPr>
        <w:t>s</w:t>
      </w:r>
      <w:r w:rsidR="00705C65" w:rsidRPr="000D52ED">
        <w:rPr>
          <w:rFonts w:cs="Arial"/>
        </w:rPr>
        <w:t xml:space="preserve"> of those who are vulnerable by reason of age, disability or illness, and households with children are </w:t>
      </w:r>
      <w:proofErr w:type="gramStart"/>
      <w:r w:rsidR="00705C65" w:rsidRPr="000D52ED">
        <w:rPr>
          <w:rFonts w:cs="Arial"/>
        </w:rPr>
        <w:t>taken into account</w:t>
      </w:r>
      <w:proofErr w:type="gramEnd"/>
      <w:r w:rsidR="00705C65" w:rsidRPr="000D52ED">
        <w:rPr>
          <w:rFonts w:cs="Arial"/>
        </w:rPr>
        <w:t xml:space="preserve"> including the use of tenancies which provide a reasonable degree of stability</w:t>
      </w:r>
      <w:r w:rsidR="00705C65">
        <w:rPr>
          <w:rFonts w:cs="Arial"/>
        </w:rPr>
        <w:t>.  It should also contain information on the</w:t>
      </w:r>
      <w:r w:rsidR="00705C65" w:rsidRPr="000D52ED">
        <w:rPr>
          <w:rFonts w:cs="Arial"/>
        </w:rPr>
        <w:t xml:space="preserve"> advice and assistance to be given to tenants to find alternative accommodation if a fixed</w:t>
      </w:r>
      <w:r w:rsidR="006529C3">
        <w:rPr>
          <w:rFonts w:cs="Arial"/>
        </w:rPr>
        <w:t>-</w:t>
      </w:r>
      <w:r w:rsidR="00705C65" w:rsidRPr="000D52ED">
        <w:rPr>
          <w:rFonts w:cs="Arial"/>
        </w:rPr>
        <w:t>term tenancy is not renewed.</w:t>
      </w:r>
    </w:p>
    <w:p w14:paraId="6D72EF07" w14:textId="695BBBB5" w:rsidR="00705C65" w:rsidRPr="00F95E75" w:rsidRDefault="00705C65" w:rsidP="00944111">
      <w:pPr>
        <w:pStyle w:val="NoSpacing"/>
      </w:pPr>
      <w:r w:rsidRPr="000D52ED">
        <w:t xml:space="preserve"> </w:t>
      </w:r>
    </w:p>
    <w:p w14:paraId="61DC73A9" w14:textId="7BFFD32C" w:rsidR="00AD1E77" w:rsidRDefault="001C7E35" w:rsidP="00D95BC4">
      <w:pPr>
        <w:pStyle w:val="Heading3"/>
        <w:numPr>
          <w:ilvl w:val="0"/>
          <w:numId w:val="5"/>
        </w:numPr>
        <w:spacing w:before="240"/>
        <w:jc w:val="left"/>
      </w:pPr>
      <w:r>
        <w:t xml:space="preserve">Options considered  </w:t>
      </w:r>
    </w:p>
    <w:p w14:paraId="7770C11D" w14:textId="4F49D832" w:rsidR="00CF31A3" w:rsidRDefault="006E5FAE" w:rsidP="00944111">
      <w:pPr>
        <w:pStyle w:val="Heading2"/>
        <w:spacing w:before="240"/>
        <w:jc w:val="both"/>
        <w:rPr>
          <w:rFonts w:ascii="Arial" w:hAnsi="Arial"/>
          <w:sz w:val="24"/>
          <w:szCs w:val="24"/>
        </w:rPr>
      </w:pPr>
      <w:r>
        <w:rPr>
          <w:rFonts w:ascii="Arial" w:hAnsi="Arial"/>
          <w:sz w:val="24"/>
          <w:szCs w:val="24"/>
        </w:rPr>
        <w:t>2.1</w:t>
      </w:r>
      <w:r>
        <w:rPr>
          <w:rFonts w:ascii="Arial" w:hAnsi="Arial"/>
          <w:sz w:val="24"/>
          <w:szCs w:val="24"/>
        </w:rPr>
        <w:tab/>
      </w:r>
      <w:r w:rsidR="00CF31A3">
        <w:rPr>
          <w:rFonts w:ascii="Arial" w:hAnsi="Arial"/>
          <w:sz w:val="24"/>
          <w:szCs w:val="24"/>
        </w:rPr>
        <w:t>Housing Allocation Scheme</w:t>
      </w:r>
    </w:p>
    <w:p w14:paraId="79F89826" w14:textId="14B2055C" w:rsidR="00CF31A3" w:rsidRDefault="00CF31A3" w:rsidP="00944111">
      <w:pPr>
        <w:jc w:val="both"/>
      </w:pPr>
    </w:p>
    <w:p w14:paraId="69763520" w14:textId="629A572A" w:rsidR="00A50357" w:rsidRPr="00161753" w:rsidRDefault="009554AC" w:rsidP="00944111">
      <w:pPr>
        <w:jc w:val="both"/>
      </w:pPr>
      <w:r w:rsidRPr="00161753">
        <w:t xml:space="preserve">The Housing Allocation Scheme is a statutory requirement under </w:t>
      </w:r>
      <w:r w:rsidR="00161753" w:rsidRPr="00161753">
        <w:rPr>
          <w:rFonts w:cs="Arial"/>
          <w:szCs w:val="24"/>
        </w:rPr>
        <w:t>Part VI of the Housing Act 1996 (as amended by the Homelessness Act 2002 and the Localism Act 2011) a</w:t>
      </w:r>
      <w:r w:rsidR="00414785" w:rsidRPr="00161753">
        <w:t>nd sets out how social housing is allocated in Harrow</w:t>
      </w:r>
      <w:r w:rsidRPr="00161753">
        <w:t>.</w:t>
      </w:r>
      <w:r w:rsidR="000E3568" w:rsidRPr="00161753">
        <w:t xml:space="preserve"> </w:t>
      </w:r>
    </w:p>
    <w:p w14:paraId="2F54B99E" w14:textId="77777777" w:rsidR="00A50357" w:rsidRDefault="00A50357" w:rsidP="00944111">
      <w:pPr>
        <w:jc w:val="both"/>
      </w:pPr>
    </w:p>
    <w:p w14:paraId="4693682C" w14:textId="77777777" w:rsidR="00035C9F" w:rsidRDefault="00035C9F" w:rsidP="00944111">
      <w:pPr>
        <w:jc w:val="both"/>
      </w:pPr>
      <w:r>
        <w:t>The Council should keep the Housing Allocation Scheme under review. It is best practice to review Housing Allocation Schemes every few years to ensure compliance with the law and effectiveness in meeting local housing need.</w:t>
      </w:r>
    </w:p>
    <w:p w14:paraId="0B9871D4" w14:textId="77777777" w:rsidR="00A50357" w:rsidRDefault="00A50357" w:rsidP="00944111">
      <w:pPr>
        <w:jc w:val="both"/>
      </w:pPr>
    </w:p>
    <w:p w14:paraId="7272D60C" w14:textId="7F7DDD3F" w:rsidR="00AE78A0" w:rsidRDefault="00AE78A0" w:rsidP="00944111">
      <w:pPr>
        <w:jc w:val="both"/>
      </w:pPr>
      <w:r>
        <w:t xml:space="preserve">The context in which the Council operates has changed since the last review of the Housing Allocation </w:t>
      </w:r>
      <w:proofErr w:type="gramStart"/>
      <w:r>
        <w:t>Scheme</w:t>
      </w:r>
      <w:proofErr w:type="gramEnd"/>
      <w:r>
        <w:t xml:space="preserve"> so it is important to review and update the Housing Allocation Scheme to reflect policy and legislative changes and set </w:t>
      </w:r>
      <w:r w:rsidR="00D055A6">
        <w:t xml:space="preserve">current </w:t>
      </w:r>
      <w:r>
        <w:t>priorities.</w:t>
      </w:r>
    </w:p>
    <w:p w14:paraId="7CC9CD4C" w14:textId="77777777" w:rsidR="00753F03" w:rsidRDefault="00753F03" w:rsidP="00944111">
      <w:pPr>
        <w:jc w:val="both"/>
      </w:pPr>
    </w:p>
    <w:p w14:paraId="751AEEA6" w14:textId="292BAF79" w:rsidR="00753F03" w:rsidRPr="005C669B" w:rsidRDefault="000A7CA4" w:rsidP="00944111">
      <w:pPr>
        <w:jc w:val="both"/>
      </w:pPr>
      <w:r>
        <w:t xml:space="preserve">The Housing Allocation Scheme </w:t>
      </w:r>
      <w:r w:rsidR="00753F03">
        <w:t xml:space="preserve">enables the Council to set out its priorities </w:t>
      </w:r>
      <w:r>
        <w:t xml:space="preserve">and policy </w:t>
      </w:r>
      <w:r w:rsidR="00753F03">
        <w:t xml:space="preserve">and communicate these to applicants and other stakeholders. </w:t>
      </w:r>
    </w:p>
    <w:p w14:paraId="7E822041" w14:textId="77777777" w:rsidR="0020207B" w:rsidRDefault="0020207B" w:rsidP="00944111">
      <w:pPr>
        <w:jc w:val="both"/>
      </w:pPr>
    </w:p>
    <w:p w14:paraId="37AF385D" w14:textId="10E7545F" w:rsidR="009554AC" w:rsidRDefault="009554AC" w:rsidP="00944111">
      <w:pPr>
        <w:jc w:val="both"/>
      </w:pPr>
      <w:r>
        <w:t>Reviewing the Housing Allocation Scheme is necessary for the Council to comply with its statutory duty and to reduce the risk of legal challenge.</w:t>
      </w:r>
    </w:p>
    <w:p w14:paraId="159C6E98" w14:textId="2D4B8BE5" w:rsidR="00586116" w:rsidRDefault="00586116" w:rsidP="00944111">
      <w:pPr>
        <w:jc w:val="both"/>
      </w:pPr>
    </w:p>
    <w:p w14:paraId="46429F64" w14:textId="26E7CC8E" w:rsidR="00586116" w:rsidRDefault="00586116" w:rsidP="00944111">
      <w:pPr>
        <w:jc w:val="both"/>
      </w:pPr>
      <w:r>
        <w:t xml:space="preserve">The following options have been considered in the review of the current </w:t>
      </w:r>
      <w:r w:rsidR="008E6F31">
        <w:t xml:space="preserve">Housing </w:t>
      </w:r>
      <w:r>
        <w:t xml:space="preserve">Allocation </w:t>
      </w:r>
      <w:r w:rsidR="008E6F31">
        <w:t>S</w:t>
      </w:r>
      <w:r>
        <w:t>cheme:</w:t>
      </w:r>
    </w:p>
    <w:p w14:paraId="6962506E" w14:textId="7BB46858" w:rsidR="00AB5582" w:rsidRDefault="00AB5582" w:rsidP="00944111">
      <w:pPr>
        <w:jc w:val="both"/>
      </w:pPr>
    </w:p>
    <w:p w14:paraId="2146D6DB" w14:textId="5BA4F9D8" w:rsidR="00AB5582" w:rsidRDefault="00AB5582" w:rsidP="00D95BC4">
      <w:pPr>
        <w:pStyle w:val="ListParagraph"/>
        <w:numPr>
          <w:ilvl w:val="0"/>
          <w:numId w:val="6"/>
        </w:numPr>
        <w:ind w:left="360"/>
        <w:jc w:val="both"/>
      </w:pPr>
      <w:r>
        <w:t xml:space="preserve">Continue to use Choice Based Lettings for </w:t>
      </w:r>
      <w:proofErr w:type="gramStart"/>
      <w:r>
        <w:t>the majority of</w:t>
      </w:r>
      <w:proofErr w:type="gramEnd"/>
      <w:r>
        <w:t xml:space="preserve"> social housing allocations made in Harrow</w:t>
      </w:r>
      <w:r w:rsidR="001E2EF2">
        <w:t>, in line with the current policy</w:t>
      </w:r>
      <w:r w:rsidR="0017728B">
        <w:t>.</w:t>
      </w:r>
    </w:p>
    <w:p w14:paraId="5832C56A" w14:textId="0329757A" w:rsidR="00AB5582" w:rsidRPr="00DD5EE4" w:rsidRDefault="00AB5582" w:rsidP="00944111">
      <w:pPr>
        <w:jc w:val="both"/>
        <w:rPr>
          <w:szCs w:val="24"/>
        </w:rPr>
      </w:pPr>
    </w:p>
    <w:p w14:paraId="1722B200" w14:textId="488D60CA" w:rsidR="00DD5EE4" w:rsidRPr="00DD5EE4" w:rsidRDefault="00AB5582" w:rsidP="00944111">
      <w:pPr>
        <w:pStyle w:val="Default"/>
        <w:jc w:val="both"/>
      </w:pPr>
      <w:r w:rsidRPr="00DD5EE4">
        <w:lastRenderedPageBreak/>
        <w:t>This option is recommended.</w:t>
      </w:r>
      <w:r w:rsidR="0095556E" w:rsidRPr="00DD5EE4">
        <w:t xml:space="preserve"> </w:t>
      </w:r>
      <w:r w:rsidR="006A1CA0" w:rsidRPr="00DD5EE4">
        <w:t>While choice in Harrow is limited by the small social housing stock and the low turnover, the principle of choice is valued by applicants and stakeholders.</w:t>
      </w:r>
      <w:r w:rsidR="002C77F3" w:rsidRPr="00DD5EE4">
        <w:t xml:space="preserve"> </w:t>
      </w:r>
      <w:r w:rsidR="00835975">
        <w:t xml:space="preserve">Continuing to use Choice Based Lettings for </w:t>
      </w:r>
      <w:proofErr w:type="gramStart"/>
      <w:r w:rsidR="00835975">
        <w:t>the majority of</w:t>
      </w:r>
      <w:proofErr w:type="gramEnd"/>
      <w:r w:rsidR="00835975">
        <w:t xml:space="preserve"> social housing allocations </w:t>
      </w:r>
      <w:r w:rsidR="0017728B">
        <w:t xml:space="preserve">would </w:t>
      </w:r>
      <w:r w:rsidR="00DD5EE4" w:rsidRPr="00DD5EE4">
        <w:t xml:space="preserve">allow applicants on the housing register (waiting list) to </w:t>
      </w:r>
      <w:r w:rsidR="0017728B">
        <w:t xml:space="preserve">continue to </w:t>
      </w:r>
      <w:r w:rsidR="00DD5EE4" w:rsidRPr="00DD5EE4">
        <w:t>bid for council and housing association properties advertised by the council that they are eligible for.</w:t>
      </w:r>
      <w:r w:rsidR="0017728B">
        <w:t xml:space="preserve"> There are existing penalties for not bidding and for refusals which can be implemented more robustly and consistently and the effectiveness of these can be reviewed in 12 months.</w:t>
      </w:r>
    </w:p>
    <w:p w14:paraId="0B587C11" w14:textId="77777777" w:rsidR="00AB5582" w:rsidRPr="00DD5EE4" w:rsidRDefault="00AB5582" w:rsidP="00944111">
      <w:pPr>
        <w:jc w:val="both"/>
        <w:rPr>
          <w:szCs w:val="24"/>
        </w:rPr>
      </w:pPr>
    </w:p>
    <w:p w14:paraId="35EE6541" w14:textId="5DDB9A18" w:rsidR="00AB5582" w:rsidRDefault="00AB5582" w:rsidP="00D95BC4">
      <w:pPr>
        <w:pStyle w:val="ListParagraph"/>
        <w:numPr>
          <w:ilvl w:val="0"/>
          <w:numId w:val="6"/>
        </w:numPr>
        <w:ind w:left="360"/>
        <w:jc w:val="both"/>
      </w:pPr>
      <w:r>
        <w:t xml:space="preserve">Suspend the use of Choice Based Lettings and instead use direct offers for all social housing allocations made in Harrow for a </w:t>
      </w:r>
      <w:r w:rsidR="000C0249">
        <w:t xml:space="preserve">pilot </w:t>
      </w:r>
      <w:r>
        <w:t>period and then review</w:t>
      </w:r>
      <w:r w:rsidR="0053156C">
        <w:t>.</w:t>
      </w:r>
    </w:p>
    <w:p w14:paraId="2DB0A4B0" w14:textId="2E79D459" w:rsidR="00AB5582" w:rsidRDefault="00AB5582" w:rsidP="00944111">
      <w:pPr>
        <w:jc w:val="both"/>
      </w:pPr>
    </w:p>
    <w:p w14:paraId="2F44D6A3" w14:textId="7FDEF01E" w:rsidR="006B6D2C" w:rsidRPr="00DD5EE4" w:rsidRDefault="00AB5582" w:rsidP="00944111">
      <w:pPr>
        <w:pStyle w:val="Default"/>
        <w:jc w:val="both"/>
      </w:pPr>
      <w:r>
        <w:t xml:space="preserve">This option is not recommended. </w:t>
      </w:r>
      <w:r w:rsidR="006A1CA0">
        <w:t>While choice in Harrow is limited by the small social housing stock and the low turnover, the principle of choice is valued by applicants and stakeholders.</w:t>
      </w:r>
      <w:r w:rsidR="00BB0709">
        <w:t xml:space="preserve"> Direct offers would address the challenges of applicants not bidding and </w:t>
      </w:r>
      <w:r w:rsidR="006B6D2C">
        <w:t xml:space="preserve">of </w:t>
      </w:r>
      <w:r w:rsidR="00BB0709">
        <w:t>refusals</w:t>
      </w:r>
      <w:r w:rsidR="00F00CB1">
        <w:t xml:space="preserve"> but would remove the opportunity for </w:t>
      </w:r>
      <w:r w:rsidR="00F00CB1" w:rsidRPr="00DD5EE4">
        <w:t>applicants on the housing register (waiting list) to bid for council and housing association properties advertised by the council that they are eligible for.</w:t>
      </w:r>
      <w:r w:rsidR="006B6D2C">
        <w:t xml:space="preserve"> It is unnecessary to suspend Choice Based Lettings </w:t>
      </w:r>
      <w:r w:rsidR="002A729A">
        <w:t xml:space="preserve">for a period </w:t>
      </w:r>
      <w:r w:rsidR="006B6D2C">
        <w:t>because there are existing penalties for not bidding and for refusals which can be implemented more robustly and consistently and the effectiveness of these can be reviewed in 12 months.</w:t>
      </w:r>
    </w:p>
    <w:p w14:paraId="7FEE8225" w14:textId="77777777" w:rsidR="00AB5582" w:rsidRDefault="00AB5582" w:rsidP="00944111">
      <w:pPr>
        <w:jc w:val="both"/>
      </w:pPr>
    </w:p>
    <w:p w14:paraId="5313F6BF" w14:textId="4A5E35DC" w:rsidR="00AB5582" w:rsidRDefault="00AB5582" w:rsidP="00D95BC4">
      <w:pPr>
        <w:pStyle w:val="ListParagraph"/>
        <w:numPr>
          <w:ilvl w:val="0"/>
          <w:numId w:val="6"/>
        </w:numPr>
        <w:ind w:left="360"/>
        <w:jc w:val="both"/>
      </w:pPr>
      <w:r>
        <w:t xml:space="preserve">End the use of Choice Based Lettings and instead use direct offers for all social housing allocations made in Harrow </w:t>
      </w:r>
    </w:p>
    <w:p w14:paraId="2BD17760" w14:textId="0FA8C8EF" w:rsidR="00586116" w:rsidRDefault="00586116" w:rsidP="00944111">
      <w:pPr>
        <w:jc w:val="both"/>
      </w:pPr>
    </w:p>
    <w:p w14:paraId="14B45EE3" w14:textId="1F76C916" w:rsidR="002A729A" w:rsidRPr="00DD5EE4" w:rsidRDefault="002A729A" w:rsidP="00944111">
      <w:pPr>
        <w:pStyle w:val="Default"/>
        <w:jc w:val="both"/>
      </w:pPr>
      <w:r>
        <w:t xml:space="preserve">This option is not recommended. While choice in Harrow is limited by the small social housing stock and the low turnover, the principle of choice is valued by applicants and stakeholders. Direct offers would address the challenges of applicants not bidding and of refusals but would remove the opportunity for </w:t>
      </w:r>
      <w:r w:rsidRPr="00DD5EE4">
        <w:t>applicants on the housing register (waiting list) to bid for council and housing association properties advertised by the council that they are eligible for.</w:t>
      </w:r>
      <w:r>
        <w:t xml:space="preserve"> It is unnecessary to end Choice Based Lettings because there are existing penalties for not bidding and for refusals which can be implemented more robustly and consistently and the effectiveness of these can be reviewed in 12 months.</w:t>
      </w:r>
    </w:p>
    <w:p w14:paraId="0EB13792" w14:textId="77777777" w:rsidR="005C669B" w:rsidRDefault="005C669B" w:rsidP="00944111">
      <w:pPr>
        <w:jc w:val="both"/>
      </w:pPr>
    </w:p>
    <w:p w14:paraId="6C4C193B" w14:textId="55961D5E" w:rsidR="00CF31A3" w:rsidRDefault="006E5FAE" w:rsidP="00944111">
      <w:pPr>
        <w:jc w:val="both"/>
        <w:rPr>
          <w:b/>
          <w:bCs/>
        </w:rPr>
      </w:pPr>
      <w:r>
        <w:rPr>
          <w:b/>
          <w:bCs/>
        </w:rPr>
        <w:t>2.2</w:t>
      </w:r>
      <w:r>
        <w:rPr>
          <w:b/>
          <w:bCs/>
        </w:rPr>
        <w:tab/>
      </w:r>
      <w:r w:rsidR="005C669B">
        <w:rPr>
          <w:b/>
          <w:bCs/>
        </w:rPr>
        <w:t xml:space="preserve">Tenancy Strategy </w:t>
      </w:r>
      <w:r w:rsidR="00CE3F2A">
        <w:rPr>
          <w:b/>
          <w:bCs/>
        </w:rPr>
        <w:t>and</w:t>
      </w:r>
      <w:r w:rsidR="005C669B">
        <w:rPr>
          <w:b/>
          <w:bCs/>
        </w:rPr>
        <w:t xml:space="preserve"> Tenancy</w:t>
      </w:r>
      <w:r w:rsidR="00CE3F2A">
        <w:rPr>
          <w:b/>
          <w:bCs/>
        </w:rPr>
        <w:t xml:space="preserve"> Policy</w:t>
      </w:r>
    </w:p>
    <w:p w14:paraId="6A0FF2DF" w14:textId="00E556DE" w:rsidR="00583208" w:rsidRDefault="00583208" w:rsidP="00944111">
      <w:pPr>
        <w:jc w:val="both"/>
        <w:rPr>
          <w:b/>
          <w:bCs/>
        </w:rPr>
      </w:pPr>
    </w:p>
    <w:p w14:paraId="2FB41922" w14:textId="77777777" w:rsidR="00EB50F5" w:rsidRPr="000E1B44" w:rsidRDefault="00EB50F5" w:rsidP="00944111">
      <w:pPr>
        <w:jc w:val="both"/>
      </w:pPr>
      <w:r>
        <w:t>The Tenancy Strategy is a statutory requirement under the Localism Act 2011. The Tenancy Policy is a requirement of the Tenancy Standard set by the Regulator of Social Housing.</w:t>
      </w:r>
    </w:p>
    <w:p w14:paraId="5866B15C" w14:textId="76AEF4D4" w:rsidR="00A77A22" w:rsidRDefault="00A77A22" w:rsidP="00944111">
      <w:pPr>
        <w:jc w:val="both"/>
      </w:pPr>
    </w:p>
    <w:p w14:paraId="5D542563" w14:textId="4C53759F" w:rsidR="002413DF" w:rsidRDefault="00A77A22" w:rsidP="00944111">
      <w:pPr>
        <w:jc w:val="both"/>
      </w:pPr>
      <w:r>
        <w:t xml:space="preserve">The context in which the Council operates has changed since the </w:t>
      </w:r>
      <w:r w:rsidR="007073A5">
        <w:t xml:space="preserve">current </w:t>
      </w:r>
      <w:r w:rsidR="000B37E7">
        <w:t xml:space="preserve">Tenancy Strategy and the Tenancy Policy were approved. </w:t>
      </w:r>
    </w:p>
    <w:p w14:paraId="14A42D56" w14:textId="77777777" w:rsidR="002413DF" w:rsidRDefault="002413DF" w:rsidP="00944111">
      <w:pPr>
        <w:jc w:val="both"/>
      </w:pPr>
    </w:p>
    <w:p w14:paraId="71615E45" w14:textId="3384D32C" w:rsidR="00A77A22" w:rsidRPr="005C669B" w:rsidRDefault="002413DF" w:rsidP="00944111">
      <w:pPr>
        <w:jc w:val="both"/>
      </w:pPr>
      <w:r>
        <w:t xml:space="preserve">The Tenancy Strategy and Tenancy Policy </w:t>
      </w:r>
      <w:r w:rsidR="00A77A22">
        <w:t>enable the Council to set out its priorities and policy and communicate these to applicants</w:t>
      </w:r>
      <w:r w:rsidR="008428E5">
        <w:t>, new council tenants</w:t>
      </w:r>
      <w:r w:rsidR="00A77A22">
        <w:t xml:space="preserve"> and other stakeholders</w:t>
      </w:r>
      <w:r w:rsidR="008428E5">
        <w:t>, particularly Registered Providers (housing associations)</w:t>
      </w:r>
      <w:r w:rsidR="00A77A22">
        <w:t xml:space="preserve">. </w:t>
      </w:r>
    </w:p>
    <w:p w14:paraId="3F6A6345" w14:textId="77777777" w:rsidR="00A77A22" w:rsidRDefault="00A77A22" w:rsidP="00944111">
      <w:pPr>
        <w:jc w:val="both"/>
      </w:pPr>
    </w:p>
    <w:p w14:paraId="12B7D3E8" w14:textId="4C1395FC" w:rsidR="00B45074" w:rsidRDefault="00A77A22" w:rsidP="00944111">
      <w:pPr>
        <w:jc w:val="both"/>
      </w:pPr>
      <w:r>
        <w:t xml:space="preserve">Reviewing the </w:t>
      </w:r>
      <w:r w:rsidR="0055042A">
        <w:t xml:space="preserve">Tenancy Strategy and Tenancy Policy </w:t>
      </w:r>
      <w:r>
        <w:t>is necessary for the Council to comply with its statutory duty and to reduce the risk of legal challenge.</w:t>
      </w:r>
    </w:p>
    <w:p w14:paraId="266DB638" w14:textId="59F45BBB" w:rsidR="00586116" w:rsidRDefault="00586116" w:rsidP="00944111">
      <w:pPr>
        <w:jc w:val="both"/>
      </w:pPr>
    </w:p>
    <w:p w14:paraId="7CD9FED1" w14:textId="2E2B30BD" w:rsidR="00586116" w:rsidRDefault="00586116" w:rsidP="00944111">
      <w:pPr>
        <w:jc w:val="both"/>
      </w:pPr>
      <w:r>
        <w:t>The following options have been considered in the review of the current Tenancy Strategy and Policy:</w:t>
      </w:r>
    </w:p>
    <w:p w14:paraId="49F996BB" w14:textId="07185622" w:rsidR="00007D23" w:rsidRDefault="00007D23" w:rsidP="00944111">
      <w:pPr>
        <w:jc w:val="both"/>
      </w:pPr>
    </w:p>
    <w:p w14:paraId="4BAD13CB" w14:textId="51BD4DEB" w:rsidR="00007D23" w:rsidRDefault="00007D23" w:rsidP="00D95BC4">
      <w:pPr>
        <w:pStyle w:val="ListParagraph"/>
        <w:numPr>
          <w:ilvl w:val="0"/>
          <w:numId w:val="7"/>
        </w:numPr>
        <w:ind w:left="360"/>
        <w:jc w:val="both"/>
      </w:pPr>
      <w:r>
        <w:t>Continue to use flexible</w:t>
      </w:r>
      <w:r w:rsidR="00B20483">
        <w:t xml:space="preserve"> </w:t>
      </w:r>
      <w:r>
        <w:t xml:space="preserve">fixed-term tenancies, in line with the current strategy and policy, for all permanent lettings of </w:t>
      </w:r>
      <w:r w:rsidR="00077FC8">
        <w:t xml:space="preserve">general needs </w:t>
      </w:r>
      <w:r>
        <w:t>Harrow council housing (following a successful introductory tenancy)</w:t>
      </w:r>
    </w:p>
    <w:p w14:paraId="0393A061" w14:textId="5C105DCF" w:rsidR="00007D23" w:rsidRDefault="00007D23" w:rsidP="00944111">
      <w:pPr>
        <w:jc w:val="both"/>
      </w:pPr>
    </w:p>
    <w:p w14:paraId="7AEBB85F" w14:textId="64F2D6AB" w:rsidR="00596399" w:rsidRPr="009015BB" w:rsidRDefault="000F4575" w:rsidP="00944111">
      <w:pPr>
        <w:jc w:val="both"/>
        <w:rPr>
          <w:rFonts w:asciiTheme="minorHAnsi" w:hAnsiTheme="minorHAnsi"/>
          <w:sz w:val="22"/>
        </w:rPr>
      </w:pPr>
      <w:r>
        <w:t>This option is not recommend</w:t>
      </w:r>
      <w:r w:rsidR="00D47825">
        <w:t>ed</w:t>
      </w:r>
      <w:r>
        <w:t xml:space="preserve">. This option would not resolve any of </w:t>
      </w:r>
      <w:r w:rsidR="0095556E">
        <w:t xml:space="preserve">the </w:t>
      </w:r>
      <w:r>
        <w:t>challenges</w:t>
      </w:r>
      <w:r w:rsidR="0095556E">
        <w:t xml:space="preserve"> of administering and managing flexible tenancies</w:t>
      </w:r>
      <w:r>
        <w:t>.</w:t>
      </w:r>
      <w:r w:rsidR="00202648">
        <w:t xml:space="preserve"> This option would not address the concerns of some tenants</w:t>
      </w:r>
      <w:r w:rsidR="000C0AA1">
        <w:t>, such as</w:t>
      </w:r>
      <w:r w:rsidR="00A331EB">
        <w:t xml:space="preserve"> </w:t>
      </w:r>
      <w:r w:rsidR="00A331EB">
        <w:rPr>
          <w:rFonts w:cs="Arial"/>
        </w:rPr>
        <w:t xml:space="preserve">having a different tenancy type to their neighbours, lack of security and not feeling invested in their </w:t>
      </w:r>
      <w:r w:rsidR="00080827">
        <w:rPr>
          <w:rFonts w:cs="Arial"/>
        </w:rPr>
        <w:t xml:space="preserve">neighbourhood and </w:t>
      </w:r>
      <w:r w:rsidR="00A331EB">
        <w:rPr>
          <w:rFonts w:cs="Arial"/>
        </w:rPr>
        <w:t>home (which may impact on willingness to decorate or maintain their home)</w:t>
      </w:r>
      <w:r w:rsidR="003F6826">
        <w:rPr>
          <w:rFonts w:asciiTheme="minorHAnsi" w:hAnsiTheme="minorHAnsi"/>
          <w:sz w:val="22"/>
        </w:rPr>
        <w:t xml:space="preserve">. </w:t>
      </w:r>
      <w:r>
        <w:t>Any legal challenges w</w:t>
      </w:r>
      <w:r w:rsidR="00FE44D7">
        <w:t>ould</w:t>
      </w:r>
      <w:r>
        <w:t xml:space="preserve"> </w:t>
      </w:r>
      <w:r w:rsidR="0095556E">
        <w:t xml:space="preserve">still </w:t>
      </w:r>
      <w:r>
        <w:t>need to be addressed as they arise</w:t>
      </w:r>
      <w:r w:rsidR="004C2EBB">
        <w:t xml:space="preserve">, such as a tenant challenging their </w:t>
      </w:r>
      <w:r w:rsidR="00C97945">
        <w:t>flexible tenancy not being renewed</w:t>
      </w:r>
      <w:r>
        <w:t>.</w:t>
      </w:r>
    </w:p>
    <w:p w14:paraId="4D570AE4" w14:textId="77777777" w:rsidR="00596399" w:rsidRDefault="00596399" w:rsidP="00944111">
      <w:pPr>
        <w:jc w:val="both"/>
      </w:pPr>
    </w:p>
    <w:p w14:paraId="29E3F6D4" w14:textId="666307BC" w:rsidR="00007D23" w:rsidRDefault="00007D23" w:rsidP="00D95BC4">
      <w:pPr>
        <w:pStyle w:val="ListParagraph"/>
        <w:numPr>
          <w:ilvl w:val="0"/>
          <w:numId w:val="7"/>
        </w:numPr>
        <w:ind w:left="360"/>
        <w:jc w:val="both"/>
      </w:pPr>
      <w:r>
        <w:t>Continue to use flexible</w:t>
      </w:r>
      <w:r w:rsidR="009F211F">
        <w:t xml:space="preserve"> </w:t>
      </w:r>
      <w:r>
        <w:t xml:space="preserve">fixed-term tenancies for </w:t>
      </w:r>
      <w:r w:rsidR="00523BCF">
        <w:t xml:space="preserve">all permanent lettings of general needs </w:t>
      </w:r>
      <w:r w:rsidR="00D47825">
        <w:t xml:space="preserve">larger </w:t>
      </w:r>
      <w:r>
        <w:t xml:space="preserve">family </w:t>
      </w:r>
      <w:r w:rsidR="00523BCF">
        <w:t xml:space="preserve">sized Harrow council </w:t>
      </w:r>
      <w:r>
        <w:t>ho</w:t>
      </w:r>
      <w:r w:rsidR="00523BCF">
        <w:t>using</w:t>
      </w:r>
      <w:r w:rsidR="00FE44D7">
        <w:t xml:space="preserve"> (</w:t>
      </w:r>
      <w:r w:rsidR="00523BCF">
        <w:t xml:space="preserve">homes with </w:t>
      </w:r>
      <w:r w:rsidR="00FE44D7">
        <w:t>3 bed</w:t>
      </w:r>
      <w:r w:rsidR="00523BCF">
        <w:t>rooms or more</w:t>
      </w:r>
      <w:r w:rsidR="00FE44D7">
        <w:t>)</w:t>
      </w:r>
      <w:r w:rsidR="00D47825">
        <w:t xml:space="preserve"> </w:t>
      </w:r>
      <w:r w:rsidR="009310D4">
        <w:t>but end the use of flexible</w:t>
      </w:r>
      <w:r w:rsidR="006F79CE">
        <w:t xml:space="preserve"> fixed-term</w:t>
      </w:r>
      <w:r w:rsidR="009310D4">
        <w:t xml:space="preserve"> tenancies for smaller homes</w:t>
      </w:r>
      <w:r w:rsidR="00DC0F39">
        <w:t xml:space="preserve"> </w:t>
      </w:r>
      <w:r w:rsidR="00600C88">
        <w:t>(</w:t>
      </w:r>
      <w:r w:rsidR="00523BCF">
        <w:t xml:space="preserve">with </w:t>
      </w:r>
      <w:r w:rsidR="00600C88">
        <w:t>2 bed</w:t>
      </w:r>
      <w:r w:rsidR="00523BCF">
        <w:t>rooms or less</w:t>
      </w:r>
      <w:r w:rsidR="00600C88">
        <w:t xml:space="preserve">) </w:t>
      </w:r>
      <w:r w:rsidR="00DC0F39">
        <w:t xml:space="preserve">and reconsider the length of flexible </w:t>
      </w:r>
      <w:r w:rsidR="006F79CE">
        <w:t xml:space="preserve">fixed-term </w:t>
      </w:r>
      <w:r w:rsidR="00DC0F39">
        <w:t>tenancy awarded</w:t>
      </w:r>
      <w:r>
        <w:t xml:space="preserve"> </w:t>
      </w:r>
      <w:r w:rsidR="00DC0F39">
        <w:t xml:space="preserve">for </w:t>
      </w:r>
      <w:r w:rsidR="009B358E">
        <w:t>specific</w:t>
      </w:r>
      <w:r w:rsidR="00DC0F39">
        <w:t xml:space="preserve"> groups of tenants (such as </w:t>
      </w:r>
      <w:r w:rsidR="009B358E">
        <w:t xml:space="preserve">awarding longer tenancies to </w:t>
      </w:r>
      <w:r w:rsidR="00DC0F39">
        <w:t>those with young children)</w:t>
      </w:r>
    </w:p>
    <w:p w14:paraId="550BA855" w14:textId="1F49A000" w:rsidR="00E97CF6" w:rsidRDefault="00E97CF6" w:rsidP="00944111">
      <w:pPr>
        <w:jc w:val="both"/>
      </w:pPr>
    </w:p>
    <w:p w14:paraId="7D2644EC" w14:textId="47204333" w:rsidR="00393580" w:rsidRDefault="000F4575" w:rsidP="00944111">
      <w:pPr>
        <w:jc w:val="both"/>
      </w:pPr>
      <w:r>
        <w:t xml:space="preserve">This option is not recommended. </w:t>
      </w:r>
      <w:r w:rsidR="00A80770">
        <w:t xml:space="preserve">While it would </w:t>
      </w:r>
      <w:r w:rsidR="00393580">
        <w:t>retain the original purpose for using flexible tenancies (</w:t>
      </w:r>
      <w:r w:rsidR="00055767">
        <w:t xml:space="preserve">providing </w:t>
      </w:r>
      <w:r w:rsidR="00393580">
        <w:t xml:space="preserve">the Council </w:t>
      </w:r>
      <w:r w:rsidR="00D334CA">
        <w:t xml:space="preserve">more flexibility in using its housing stock when the housing needs of tenants change </w:t>
      </w:r>
      <w:r w:rsidR="008C6568">
        <w:t>and properties become under-occupied</w:t>
      </w:r>
      <w:r w:rsidR="00393580">
        <w:t>)</w:t>
      </w:r>
      <w:r w:rsidR="00AE05B6">
        <w:t>,</w:t>
      </w:r>
      <w:r w:rsidR="00393580">
        <w:t xml:space="preserve"> it would not resolve any of the challenges of administering and managing flexible tenancies. This option would not address the concerns of some tenants. Any legal challenges would still need to be addressed as they arise.</w:t>
      </w:r>
    </w:p>
    <w:p w14:paraId="3A3C32E5" w14:textId="402F10E3" w:rsidR="00596399" w:rsidRDefault="00596399" w:rsidP="00944111">
      <w:pPr>
        <w:jc w:val="both"/>
      </w:pPr>
    </w:p>
    <w:p w14:paraId="7973A42D" w14:textId="002CAF90" w:rsidR="00E97CF6" w:rsidRDefault="00E97CF6" w:rsidP="00D95BC4">
      <w:pPr>
        <w:pStyle w:val="ListParagraph"/>
        <w:numPr>
          <w:ilvl w:val="0"/>
          <w:numId w:val="7"/>
        </w:numPr>
        <w:ind w:left="360"/>
        <w:jc w:val="both"/>
      </w:pPr>
      <w:r>
        <w:t xml:space="preserve">End the use of </w:t>
      </w:r>
      <w:r w:rsidR="00202648">
        <w:t>flexible</w:t>
      </w:r>
      <w:r w:rsidR="009F211F">
        <w:t xml:space="preserve"> </w:t>
      </w:r>
      <w:r>
        <w:t>fixed-term tenancies and use lifetime tenancies instead</w:t>
      </w:r>
      <w:r w:rsidR="00523BCF">
        <w:t xml:space="preserve"> for all permanent lettings of general needs Harrow council housing (following a successful introductory tenancy)</w:t>
      </w:r>
      <w:r w:rsidR="00DA36D3">
        <w:t>, for current tenancies and future lettings</w:t>
      </w:r>
    </w:p>
    <w:p w14:paraId="1C0D76FE" w14:textId="77777777" w:rsidR="00663F20" w:rsidRDefault="00663F20" w:rsidP="00944111">
      <w:pPr>
        <w:jc w:val="both"/>
      </w:pPr>
    </w:p>
    <w:p w14:paraId="09914D7D" w14:textId="4D57C8E1" w:rsidR="00162224" w:rsidRDefault="000F4575" w:rsidP="00944111">
      <w:pPr>
        <w:jc w:val="both"/>
      </w:pPr>
      <w:r>
        <w:t>This option is recommended.</w:t>
      </w:r>
      <w:r w:rsidR="00146798">
        <w:t xml:space="preserve"> </w:t>
      </w:r>
      <w:r w:rsidR="00E27EAB">
        <w:t xml:space="preserve">Reverting to using lifetime tenancies would alleviate </w:t>
      </w:r>
      <w:r w:rsidR="00202648">
        <w:t>the challenges of administering and managing flexible tenancies</w:t>
      </w:r>
      <w:r w:rsidR="00E27EAB">
        <w:t xml:space="preserve">. </w:t>
      </w:r>
      <w:r w:rsidR="00B03E4E">
        <w:t xml:space="preserve">This option would also address the concerns of some tenants. </w:t>
      </w:r>
      <w:r w:rsidR="00E27EAB">
        <w:t xml:space="preserve">All tenants would have the same tenancy status. </w:t>
      </w:r>
      <w:r w:rsidR="00DA36D3">
        <w:t>This option would remove the risk of any legal challenges arising from the use of flexible</w:t>
      </w:r>
      <w:r w:rsidR="00B30237">
        <w:t xml:space="preserve"> </w:t>
      </w:r>
      <w:r w:rsidR="00DA36D3">
        <w:t xml:space="preserve">fixed-term tenancies. </w:t>
      </w:r>
      <w:r w:rsidR="00113007">
        <w:t xml:space="preserve">In order to address the original purpose for using flexible tenancies (allowing the Council to require tenants to move if they are under-occupying at the time of the tenancy review) a review of the approach to under-occupation will be </w:t>
      </w:r>
      <w:r w:rsidR="00091186">
        <w:t xml:space="preserve">undertaken in </w:t>
      </w:r>
      <w:r w:rsidR="0003390C">
        <w:t>early</w:t>
      </w:r>
      <w:r w:rsidR="00091186">
        <w:t xml:space="preserve"> 2021 to ensure that opportunities to release larger family sized homes are maximised.</w:t>
      </w:r>
    </w:p>
    <w:p w14:paraId="6A44C50F" w14:textId="77777777" w:rsidR="006E5FAE" w:rsidRPr="006E5FAE" w:rsidRDefault="006E5FAE" w:rsidP="00944111">
      <w:pPr>
        <w:jc w:val="both"/>
      </w:pPr>
    </w:p>
    <w:p w14:paraId="61DC73AD" w14:textId="3FABB86D" w:rsidR="00333FAA" w:rsidRPr="00D80CC8" w:rsidRDefault="00333FAA" w:rsidP="00D95BC4">
      <w:pPr>
        <w:pStyle w:val="Heading2"/>
        <w:numPr>
          <w:ilvl w:val="0"/>
          <w:numId w:val="5"/>
        </w:numPr>
        <w:jc w:val="both"/>
        <w:rPr>
          <w:rFonts w:ascii="Arial" w:hAnsi="Arial"/>
          <w:sz w:val="28"/>
          <w:szCs w:val="28"/>
        </w:rPr>
      </w:pPr>
      <w:r w:rsidRPr="00D80CC8">
        <w:rPr>
          <w:rFonts w:ascii="Arial" w:hAnsi="Arial"/>
          <w:sz w:val="28"/>
          <w:szCs w:val="28"/>
        </w:rPr>
        <w:lastRenderedPageBreak/>
        <w:t>Current situation</w:t>
      </w:r>
    </w:p>
    <w:p w14:paraId="299EDB40" w14:textId="4E4DE6C3" w:rsidR="00B03A17" w:rsidRDefault="00B03A17" w:rsidP="00944111">
      <w:pPr>
        <w:jc w:val="both"/>
      </w:pPr>
    </w:p>
    <w:p w14:paraId="20E8A37A" w14:textId="556FA3E9" w:rsidR="00CE3F2A" w:rsidRPr="00CE3F2A" w:rsidRDefault="00CE3F2A" w:rsidP="00944111">
      <w:pPr>
        <w:autoSpaceDE w:val="0"/>
        <w:autoSpaceDN w:val="0"/>
        <w:adjustRightInd w:val="0"/>
        <w:jc w:val="both"/>
        <w:rPr>
          <w:rFonts w:cs="Arial"/>
          <w:b/>
          <w:bCs/>
          <w:szCs w:val="24"/>
          <w:lang w:eastAsia="en-GB"/>
        </w:rPr>
      </w:pPr>
      <w:r w:rsidRPr="00CE3F2A">
        <w:rPr>
          <w:rFonts w:cs="Arial"/>
          <w:b/>
          <w:bCs/>
          <w:szCs w:val="24"/>
          <w:lang w:eastAsia="en-GB"/>
        </w:rPr>
        <w:t>3.1</w:t>
      </w:r>
      <w:r w:rsidRPr="00CE3F2A">
        <w:rPr>
          <w:rFonts w:cs="Arial"/>
          <w:b/>
          <w:bCs/>
          <w:szCs w:val="24"/>
          <w:lang w:eastAsia="en-GB"/>
        </w:rPr>
        <w:tab/>
        <w:t>Review of housing and homelessness strategies</w:t>
      </w:r>
    </w:p>
    <w:p w14:paraId="42DB8BB6" w14:textId="77777777" w:rsidR="00CE3F2A" w:rsidRDefault="00CE3F2A" w:rsidP="00944111">
      <w:pPr>
        <w:autoSpaceDE w:val="0"/>
        <w:autoSpaceDN w:val="0"/>
        <w:adjustRightInd w:val="0"/>
        <w:jc w:val="both"/>
        <w:rPr>
          <w:rFonts w:cs="Arial"/>
          <w:szCs w:val="24"/>
          <w:lang w:eastAsia="en-GB"/>
        </w:rPr>
      </w:pPr>
    </w:p>
    <w:p w14:paraId="2386B319" w14:textId="7AF194DC" w:rsidR="00B03A17" w:rsidRDefault="00B03A17" w:rsidP="009025F6">
      <w:pPr>
        <w:autoSpaceDE w:val="0"/>
        <w:autoSpaceDN w:val="0"/>
        <w:adjustRightInd w:val="0"/>
        <w:jc w:val="both"/>
        <w:rPr>
          <w:rFonts w:cs="Arial"/>
          <w:szCs w:val="24"/>
          <w:lang w:eastAsia="en-GB"/>
        </w:rPr>
      </w:pPr>
      <w:r>
        <w:rPr>
          <w:rFonts w:cs="Arial"/>
          <w:szCs w:val="24"/>
          <w:lang w:eastAsia="en-GB"/>
        </w:rPr>
        <w:t>The first part of the review of housing and homelessness strategies focuse</w:t>
      </w:r>
      <w:r w:rsidR="00EB3B4C">
        <w:rPr>
          <w:rFonts w:cs="Arial"/>
          <w:szCs w:val="24"/>
          <w:lang w:eastAsia="en-GB"/>
        </w:rPr>
        <w:t>d</w:t>
      </w:r>
    </w:p>
    <w:p w14:paraId="01917943" w14:textId="77777777" w:rsidR="00B03A17" w:rsidRDefault="00B03A17" w:rsidP="009025F6">
      <w:pPr>
        <w:autoSpaceDE w:val="0"/>
        <w:autoSpaceDN w:val="0"/>
        <w:adjustRightInd w:val="0"/>
        <w:jc w:val="both"/>
        <w:rPr>
          <w:rFonts w:cs="Arial"/>
          <w:szCs w:val="24"/>
          <w:lang w:eastAsia="en-GB"/>
        </w:rPr>
      </w:pPr>
      <w:r>
        <w:rPr>
          <w:rFonts w:cs="Arial"/>
          <w:szCs w:val="24"/>
          <w:lang w:eastAsia="en-GB"/>
        </w:rPr>
        <w:t>on the Housing Strategy and the Homelessness &amp; Rough Sleeping Strategy.</w:t>
      </w:r>
    </w:p>
    <w:p w14:paraId="3B62E997" w14:textId="5239F2CF" w:rsidR="00B03A17" w:rsidRDefault="00B03A17" w:rsidP="009025F6">
      <w:pPr>
        <w:autoSpaceDE w:val="0"/>
        <w:autoSpaceDN w:val="0"/>
        <w:adjustRightInd w:val="0"/>
        <w:jc w:val="both"/>
        <w:rPr>
          <w:rFonts w:cs="Arial"/>
          <w:szCs w:val="24"/>
          <w:lang w:eastAsia="en-GB"/>
        </w:rPr>
      </w:pPr>
      <w:r>
        <w:rPr>
          <w:rFonts w:cs="Arial"/>
          <w:szCs w:val="24"/>
          <w:lang w:eastAsia="en-GB"/>
        </w:rPr>
        <w:t xml:space="preserve">The Private Sector Housing Strategy </w:t>
      </w:r>
      <w:r w:rsidR="00EB3B4C">
        <w:rPr>
          <w:rFonts w:cs="Arial"/>
          <w:szCs w:val="24"/>
          <w:lang w:eastAsia="en-GB"/>
        </w:rPr>
        <w:t>w</w:t>
      </w:r>
      <w:r>
        <w:rPr>
          <w:rFonts w:cs="Arial"/>
          <w:szCs w:val="24"/>
          <w:lang w:eastAsia="en-GB"/>
        </w:rPr>
        <w:t>as incorporated into the new</w:t>
      </w:r>
      <w:r w:rsidR="009025F6">
        <w:rPr>
          <w:rFonts w:cs="Arial"/>
          <w:szCs w:val="24"/>
          <w:lang w:eastAsia="en-GB"/>
        </w:rPr>
        <w:t xml:space="preserve"> </w:t>
      </w:r>
      <w:r>
        <w:rPr>
          <w:rFonts w:cs="Arial"/>
          <w:szCs w:val="24"/>
          <w:lang w:eastAsia="en-GB"/>
        </w:rPr>
        <w:t>Housing Strategy.</w:t>
      </w:r>
      <w:r w:rsidR="00EB3B4C">
        <w:rPr>
          <w:rFonts w:cs="Arial"/>
          <w:szCs w:val="24"/>
          <w:lang w:eastAsia="en-GB"/>
        </w:rPr>
        <w:t xml:space="preserve"> The strategies were approved by Cabinet in November 2019.</w:t>
      </w:r>
    </w:p>
    <w:p w14:paraId="610BD106" w14:textId="69E94EC4" w:rsidR="00EB3B4C" w:rsidRDefault="00EB3B4C" w:rsidP="009025F6">
      <w:pPr>
        <w:autoSpaceDE w:val="0"/>
        <w:autoSpaceDN w:val="0"/>
        <w:adjustRightInd w:val="0"/>
        <w:jc w:val="both"/>
        <w:rPr>
          <w:rFonts w:cs="Arial"/>
          <w:szCs w:val="24"/>
          <w:lang w:eastAsia="en-GB"/>
        </w:rPr>
      </w:pPr>
    </w:p>
    <w:p w14:paraId="48B95AD5" w14:textId="77777777" w:rsidR="006E5FAE" w:rsidRDefault="006E5FAE" w:rsidP="009025F6">
      <w:pPr>
        <w:jc w:val="both"/>
        <w:rPr>
          <w:rFonts w:cs="Arial"/>
          <w:szCs w:val="24"/>
        </w:rPr>
      </w:pPr>
      <w:r>
        <w:rPr>
          <w:rFonts w:cs="Arial"/>
          <w:szCs w:val="24"/>
        </w:rPr>
        <w:t>The current housing and homelessness strategies are as follows:</w:t>
      </w:r>
    </w:p>
    <w:p w14:paraId="09DE88E8" w14:textId="77777777" w:rsidR="006E5FAE" w:rsidRPr="00F66147" w:rsidRDefault="006E5FAE" w:rsidP="00D95BC4">
      <w:pPr>
        <w:pStyle w:val="ListParagraph"/>
        <w:numPr>
          <w:ilvl w:val="0"/>
          <w:numId w:val="2"/>
        </w:numPr>
        <w:jc w:val="both"/>
        <w:rPr>
          <w:rFonts w:cs="Arial"/>
          <w:szCs w:val="24"/>
        </w:rPr>
      </w:pPr>
      <w:r w:rsidRPr="00F66147">
        <w:rPr>
          <w:rFonts w:cs="Arial"/>
          <w:szCs w:val="24"/>
        </w:rPr>
        <w:t xml:space="preserve">Housing Strategy </w:t>
      </w:r>
      <w:r>
        <w:rPr>
          <w:rFonts w:cs="Arial"/>
          <w:szCs w:val="24"/>
        </w:rPr>
        <w:t>2019</w:t>
      </w:r>
    </w:p>
    <w:p w14:paraId="3936D27F" w14:textId="77777777" w:rsidR="006E5FAE" w:rsidRPr="00F66147" w:rsidRDefault="006E5FAE" w:rsidP="00D95BC4">
      <w:pPr>
        <w:pStyle w:val="ListParagraph"/>
        <w:numPr>
          <w:ilvl w:val="0"/>
          <w:numId w:val="2"/>
        </w:numPr>
        <w:jc w:val="both"/>
        <w:rPr>
          <w:rFonts w:cs="Arial"/>
          <w:szCs w:val="24"/>
        </w:rPr>
      </w:pPr>
      <w:r w:rsidRPr="00F66147">
        <w:rPr>
          <w:rFonts w:cs="Arial"/>
          <w:szCs w:val="24"/>
        </w:rPr>
        <w:t>Homelessness &amp; Rough Sleeping Strategy</w:t>
      </w:r>
      <w:r>
        <w:rPr>
          <w:rFonts w:cs="Arial"/>
          <w:szCs w:val="24"/>
        </w:rPr>
        <w:t xml:space="preserve"> 2019</w:t>
      </w:r>
    </w:p>
    <w:p w14:paraId="07361E0B" w14:textId="6A234302" w:rsidR="006E5FAE" w:rsidRPr="00F66147" w:rsidRDefault="006E5FAE" w:rsidP="00D95BC4">
      <w:pPr>
        <w:pStyle w:val="ListParagraph"/>
        <w:numPr>
          <w:ilvl w:val="0"/>
          <w:numId w:val="2"/>
        </w:numPr>
        <w:jc w:val="both"/>
        <w:rPr>
          <w:rFonts w:cs="Arial"/>
          <w:szCs w:val="24"/>
        </w:rPr>
      </w:pPr>
      <w:r w:rsidRPr="00F66147">
        <w:rPr>
          <w:rFonts w:cs="Arial"/>
          <w:szCs w:val="24"/>
        </w:rPr>
        <w:t>Housing Allocation Scheme 201</w:t>
      </w:r>
      <w:r w:rsidR="00950ACC">
        <w:rPr>
          <w:rFonts w:cs="Arial"/>
          <w:szCs w:val="24"/>
        </w:rPr>
        <w:t>3</w:t>
      </w:r>
      <w:r w:rsidR="00D95BC4">
        <w:rPr>
          <w:rFonts w:cs="Arial"/>
          <w:szCs w:val="24"/>
        </w:rPr>
        <w:t xml:space="preserve"> (amended in 2015)</w:t>
      </w:r>
    </w:p>
    <w:p w14:paraId="422B3F8C" w14:textId="77777777" w:rsidR="006E5FAE" w:rsidRPr="00F66147" w:rsidRDefault="006E5FAE" w:rsidP="00D95BC4">
      <w:pPr>
        <w:pStyle w:val="ListParagraph"/>
        <w:numPr>
          <w:ilvl w:val="0"/>
          <w:numId w:val="2"/>
        </w:numPr>
        <w:jc w:val="both"/>
        <w:rPr>
          <w:rFonts w:cs="Arial"/>
          <w:szCs w:val="24"/>
        </w:rPr>
      </w:pPr>
      <w:r w:rsidRPr="00F66147">
        <w:rPr>
          <w:rFonts w:cs="Arial"/>
          <w:szCs w:val="24"/>
        </w:rPr>
        <w:t>Tenancy Strategy (2012) and Tenancy Policy (2012)</w:t>
      </w:r>
    </w:p>
    <w:p w14:paraId="3E366B26" w14:textId="77777777" w:rsidR="006E5FAE" w:rsidRDefault="006E5FAE" w:rsidP="009025F6">
      <w:pPr>
        <w:autoSpaceDE w:val="0"/>
        <w:autoSpaceDN w:val="0"/>
        <w:adjustRightInd w:val="0"/>
        <w:jc w:val="both"/>
        <w:rPr>
          <w:rFonts w:cs="Arial"/>
          <w:szCs w:val="24"/>
          <w:lang w:eastAsia="en-GB"/>
        </w:rPr>
      </w:pPr>
    </w:p>
    <w:p w14:paraId="3895842F" w14:textId="2CECB0BE" w:rsidR="00B03A17" w:rsidRDefault="00B03A17" w:rsidP="009025F6">
      <w:pPr>
        <w:autoSpaceDE w:val="0"/>
        <w:autoSpaceDN w:val="0"/>
        <w:adjustRightInd w:val="0"/>
        <w:jc w:val="both"/>
        <w:rPr>
          <w:rFonts w:cs="Arial"/>
          <w:szCs w:val="24"/>
          <w:lang w:eastAsia="en-GB"/>
        </w:rPr>
      </w:pPr>
      <w:r>
        <w:rPr>
          <w:rFonts w:cs="Arial"/>
          <w:szCs w:val="24"/>
          <w:lang w:eastAsia="en-GB"/>
        </w:rPr>
        <w:t>Th</w:t>
      </w:r>
      <w:r w:rsidR="00E862FC">
        <w:rPr>
          <w:rFonts w:cs="Arial"/>
          <w:szCs w:val="24"/>
          <w:lang w:eastAsia="en-GB"/>
        </w:rPr>
        <w:t>is</w:t>
      </w:r>
      <w:r>
        <w:rPr>
          <w:rFonts w:cs="Arial"/>
          <w:szCs w:val="24"/>
          <w:lang w:eastAsia="en-GB"/>
        </w:rPr>
        <w:t xml:space="preserve"> second part of the review of housing and homelessness strategies</w:t>
      </w:r>
      <w:r w:rsidR="009025F6">
        <w:rPr>
          <w:rFonts w:cs="Arial"/>
          <w:szCs w:val="24"/>
          <w:lang w:eastAsia="en-GB"/>
        </w:rPr>
        <w:t xml:space="preserve"> </w:t>
      </w:r>
      <w:r>
        <w:rPr>
          <w:rFonts w:cs="Arial"/>
          <w:szCs w:val="24"/>
          <w:lang w:eastAsia="en-GB"/>
        </w:rPr>
        <w:t xml:space="preserve">focuses on the Housing Allocation Scheme and the Tenancy </w:t>
      </w:r>
      <w:proofErr w:type="gramStart"/>
      <w:r>
        <w:rPr>
          <w:rFonts w:cs="Arial"/>
          <w:szCs w:val="24"/>
          <w:lang w:eastAsia="en-GB"/>
        </w:rPr>
        <w:t xml:space="preserve">Strategy </w:t>
      </w:r>
      <w:r w:rsidR="009025F6">
        <w:rPr>
          <w:rFonts w:cs="Arial"/>
          <w:szCs w:val="24"/>
          <w:lang w:eastAsia="en-GB"/>
        </w:rPr>
        <w:t xml:space="preserve"> and</w:t>
      </w:r>
      <w:proofErr w:type="gramEnd"/>
      <w:r w:rsidR="009025F6">
        <w:rPr>
          <w:rFonts w:cs="Arial"/>
          <w:szCs w:val="24"/>
          <w:lang w:eastAsia="en-GB"/>
        </w:rPr>
        <w:t xml:space="preserve"> </w:t>
      </w:r>
    </w:p>
    <w:p w14:paraId="07A5B49B" w14:textId="7EC687CA" w:rsidR="00BC13C2" w:rsidRDefault="00B03A17" w:rsidP="009025F6">
      <w:pPr>
        <w:jc w:val="both"/>
      </w:pPr>
      <w:r>
        <w:rPr>
          <w:rFonts w:cs="Arial"/>
          <w:szCs w:val="24"/>
          <w:lang w:eastAsia="en-GB"/>
        </w:rPr>
        <w:t>Policy.</w:t>
      </w:r>
    </w:p>
    <w:p w14:paraId="2154401A" w14:textId="28A3277D" w:rsidR="00BC13C2" w:rsidRDefault="00BC13C2" w:rsidP="00D80CC8">
      <w:pPr>
        <w:jc w:val="both"/>
      </w:pPr>
    </w:p>
    <w:p w14:paraId="162EADAB" w14:textId="7ECF9C47" w:rsidR="0028601F" w:rsidRPr="00CE3F2A" w:rsidRDefault="00CE3F2A" w:rsidP="00D80CC8">
      <w:pPr>
        <w:jc w:val="both"/>
        <w:rPr>
          <w:b/>
          <w:bCs/>
        </w:rPr>
      </w:pPr>
      <w:r w:rsidRPr="00CE3F2A">
        <w:rPr>
          <w:b/>
          <w:bCs/>
        </w:rPr>
        <w:t>3.2</w:t>
      </w:r>
      <w:r w:rsidRPr="00CE3F2A">
        <w:rPr>
          <w:b/>
          <w:bCs/>
        </w:rPr>
        <w:tab/>
      </w:r>
      <w:r w:rsidR="0028601F" w:rsidRPr="00CE3F2A">
        <w:rPr>
          <w:b/>
          <w:bCs/>
        </w:rPr>
        <w:t>Housing Allocation Scheme</w:t>
      </w:r>
    </w:p>
    <w:p w14:paraId="6037BDC2" w14:textId="5577AD37" w:rsidR="00B72B00" w:rsidRDefault="00B72B00" w:rsidP="00D80CC8">
      <w:pPr>
        <w:jc w:val="both"/>
      </w:pPr>
    </w:p>
    <w:p w14:paraId="70CD728E" w14:textId="5CE10F34" w:rsidR="006800C4" w:rsidRPr="009025F6" w:rsidRDefault="006800C4" w:rsidP="00D80CC8">
      <w:pPr>
        <w:tabs>
          <w:tab w:val="num" w:pos="360"/>
        </w:tabs>
        <w:jc w:val="both"/>
        <w:rPr>
          <w:rFonts w:cs="Arial"/>
          <w:b/>
        </w:rPr>
      </w:pPr>
      <w:r w:rsidRPr="009025F6">
        <w:rPr>
          <w:rFonts w:cs="Arial"/>
          <w:b/>
        </w:rPr>
        <w:t>3.2.1</w:t>
      </w:r>
      <w:r w:rsidRPr="009025F6">
        <w:rPr>
          <w:rFonts w:cs="Arial"/>
          <w:b/>
        </w:rPr>
        <w:tab/>
        <w:t>Housing applications</w:t>
      </w:r>
      <w:r w:rsidR="0046237F" w:rsidRPr="009025F6">
        <w:rPr>
          <w:rFonts w:cs="Arial"/>
          <w:b/>
        </w:rPr>
        <w:t xml:space="preserve"> and Housing Register</w:t>
      </w:r>
    </w:p>
    <w:p w14:paraId="5693874E" w14:textId="77777777" w:rsidR="006800C4" w:rsidRDefault="006800C4" w:rsidP="00D80CC8">
      <w:pPr>
        <w:tabs>
          <w:tab w:val="num" w:pos="360"/>
        </w:tabs>
        <w:jc w:val="both"/>
        <w:rPr>
          <w:rFonts w:cs="Arial"/>
        </w:rPr>
      </w:pPr>
    </w:p>
    <w:p w14:paraId="4999C3C0" w14:textId="1B9EBC79" w:rsidR="00564EF5" w:rsidRDefault="00172029" w:rsidP="00D80CC8">
      <w:pPr>
        <w:tabs>
          <w:tab w:val="num" w:pos="360"/>
        </w:tabs>
        <w:jc w:val="both"/>
        <w:rPr>
          <w:rFonts w:cs="Arial"/>
        </w:rPr>
      </w:pPr>
      <w:r>
        <w:rPr>
          <w:rFonts w:cs="Arial"/>
        </w:rPr>
        <w:t>All housing a</w:t>
      </w:r>
      <w:r w:rsidR="00564EF5" w:rsidRPr="005F09DF">
        <w:rPr>
          <w:rFonts w:cs="Arial"/>
        </w:rPr>
        <w:t>pplications are assessed in line with Harrow’s Housing Allocation Scheme.</w:t>
      </w:r>
      <w:r>
        <w:rPr>
          <w:rFonts w:cs="Arial"/>
        </w:rPr>
        <w:t xml:space="preserve"> </w:t>
      </w:r>
      <w:r w:rsidR="00564EF5" w:rsidRPr="005F09DF">
        <w:rPr>
          <w:rFonts w:cs="Arial"/>
        </w:rPr>
        <w:t>If eligible the</w:t>
      </w:r>
      <w:r>
        <w:rPr>
          <w:rFonts w:cs="Arial"/>
        </w:rPr>
        <w:t xml:space="preserve"> applicant</w:t>
      </w:r>
      <w:r w:rsidR="00564EF5" w:rsidRPr="005F09DF">
        <w:rPr>
          <w:rFonts w:cs="Arial"/>
        </w:rPr>
        <w:t xml:space="preserve"> will be advised of</w:t>
      </w:r>
      <w:r>
        <w:rPr>
          <w:rFonts w:cs="Arial"/>
        </w:rPr>
        <w:t xml:space="preserve"> </w:t>
      </w:r>
      <w:r w:rsidR="00564EF5" w:rsidRPr="005F09DF">
        <w:rPr>
          <w:rFonts w:cs="Arial"/>
        </w:rPr>
        <w:t>their priority band</w:t>
      </w:r>
      <w:r>
        <w:rPr>
          <w:rFonts w:cs="Arial"/>
        </w:rPr>
        <w:t xml:space="preserve">, </w:t>
      </w:r>
      <w:r w:rsidR="00564EF5" w:rsidRPr="005F09DF">
        <w:rPr>
          <w:rFonts w:cs="Arial"/>
        </w:rPr>
        <w:t>their entitlement (maximum number of bedrooms)</w:t>
      </w:r>
      <w:r>
        <w:rPr>
          <w:rFonts w:cs="Arial"/>
        </w:rPr>
        <w:t xml:space="preserve"> and </w:t>
      </w:r>
      <w:r w:rsidR="00564EF5" w:rsidRPr="005F09DF">
        <w:rPr>
          <w:rFonts w:cs="Arial"/>
          <w:lang w:val="en-US"/>
        </w:rPr>
        <w:t>their priority date</w:t>
      </w:r>
      <w:r>
        <w:rPr>
          <w:rFonts w:cs="Arial"/>
          <w:lang w:val="en-US"/>
        </w:rPr>
        <w:t xml:space="preserve">. </w:t>
      </w:r>
      <w:r w:rsidR="00564EF5" w:rsidRPr="005F09DF">
        <w:rPr>
          <w:rFonts w:cs="Arial"/>
        </w:rPr>
        <w:t>Applicant</w:t>
      </w:r>
      <w:r w:rsidR="00E862FC">
        <w:rPr>
          <w:rFonts w:cs="Arial"/>
        </w:rPr>
        <w:t>s</w:t>
      </w:r>
      <w:r w:rsidR="00564EF5" w:rsidRPr="005F09DF">
        <w:rPr>
          <w:rFonts w:cs="Arial"/>
        </w:rPr>
        <w:t xml:space="preserve"> can ask for a review of the assessment decision.</w:t>
      </w:r>
      <w:r>
        <w:rPr>
          <w:rFonts w:cs="Arial"/>
        </w:rPr>
        <w:t xml:space="preserve"> </w:t>
      </w:r>
      <w:r w:rsidR="00564EF5" w:rsidRPr="005F09DF">
        <w:rPr>
          <w:rFonts w:cs="Arial"/>
        </w:rPr>
        <w:t xml:space="preserve">Housing Needs should be notified of changes in circumstances. </w:t>
      </w:r>
    </w:p>
    <w:p w14:paraId="69F8516D" w14:textId="77777777" w:rsidR="0046237F" w:rsidRPr="00D716BC" w:rsidRDefault="0046237F" w:rsidP="00D80CC8">
      <w:pPr>
        <w:jc w:val="both"/>
        <w:rPr>
          <w:rFonts w:ascii="Calibri" w:hAnsi="Calibri"/>
          <w:szCs w:val="24"/>
        </w:rPr>
      </w:pPr>
    </w:p>
    <w:p w14:paraId="7658A9D9" w14:textId="77777777" w:rsidR="0046237F" w:rsidRPr="00D716BC" w:rsidRDefault="0046237F" w:rsidP="00D80CC8">
      <w:pPr>
        <w:jc w:val="both"/>
        <w:rPr>
          <w:szCs w:val="24"/>
        </w:rPr>
      </w:pPr>
      <w:r w:rsidRPr="00D716BC">
        <w:rPr>
          <w:szCs w:val="24"/>
        </w:rPr>
        <w:t>The housing register is made up of eligible applicants who are either home seekers (who are seeking social housing, usually for the first time) or transfer applicants (also known as choice applicants, who are already social housing tenants but need or want to move).</w:t>
      </w:r>
    </w:p>
    <w:p w14:paraId="2AF76C2D" w14:textId="77777777" w:rsidR="00564EF5" w:rsidRPr="00D716BC" w:rsidRDefault="00564EF5" w:rsidP="00D80CC8">
      <w:pPr>
        <w:jc w:val="both"/>
        <w:rPr>
          <w:rFonts w:cs="Arial"/>
          <w:szCs w:val="24"/>
        </w:rPr>
      </w:pPr>
    </w:p>
    <w:p w14:paraId="449BC216" w14:textId="71CF1805" w:rsidR="006954F7" w:rsidRPr="009025F6" w:rsidRDefault="00CE3F2A" w:rsidP="00D80CC8">
      <w:pPr>
        <w:jc w:val="both"/>
        <w:rPr>
          <w:rFonts w:cs="Arial"/>
          <w:b/>
        </w:rPr>
      </w:pPr>
      <w:r w:rsidRPr="009025F6">
        <w:rPr>
          <w:rFonts w:cs="Arial"/>
          <w:b/>
        </w:rPr>
        <w:t>3.2.</w:t>
      </w:r>
      <w:r w:rsidR="006800C4" w:rsidRPr="009025F6">
        <w:rPr>
          <w:rFonts w:cs="Arial"/>
          <w:b/>
        </w:rPr>
        <w:t>2</w:t>
      </w:r>
      <w:r w:rsidRPr="009025F6">
        <w:rPr>
          <w:rFonts w:cs="Arial"/>
          <w:b/>
        </w:rPr>
        <w:tab/>
      </w:r>
      <w:r w:rsidR="006954F7" w:rsidRPr="009025F6">
        <w:rPr>
          <w:rFonts w:cs="Arial"/>
          <w:b/>
        </w:rPr>
        <w:t>Priority Bands</w:t>
      </w:r>
    </w:p>
    <w:p w14:paraId="2671A933" w14:textId="77777777" w:rsidR="006954F7" w:rsidRPr="0039069E" w:rsidRDefault="006954F7" w:rsidP="00D80CC8">
      <w:pPr>
        <w:jc w:val="both"/>
        <w:rPr>
          <w:rFonts w:cs="Arial"/>
          <w:b/>
          <w:bCs/>
        </w:rPr>
      </w:pPr>
    </w:p>
    <w:p w14:paraId="7174CFE2" w14:textId="2D4ED647" w:rsidR="006954F7" w:rsidRPr="00E14CB3" w:rsidRDefault="006954F7" w:rsidP="00D80CC8">
      <w:pPr>
        <w:jc w:val="both"/>
        <w:rPr>
          <w:rFonts w:cs="Arial"/>
        </w:rPr>
      </w:pPr>
      <w:r w:rsidRPr="00E14CB3">
        <w:rPr>
          <w:rFonts w:cs="Arial"/>
        </w:rPr>
        <w:t xml:space="preserve">The </w:t>
      </w:r>
      <w:r w:rsidR="00172029">
        <w:rPr>
          <w:rFonts w:cs="Arial"/>
        </w:rPr>
        <w:t xml:space="preserve">priority </w:t>
      </w:r>
      <w:r w:rsidRPr="00E14CB3">
        <w:rPr>
          <w:rFonts w:cs="Arial"/>
        </w:rPr>
        <w:t>bands were reviewed in December 2015.</w:t>
      </w:r>
    </w:p>
    <w:p w14:paraId="294D50CA" w14:textId="77777777" w:rsidR="002221F9" w:rsidRDefault="002221F9" w:rsidP="00D80CC8">
      <w:pPr>
        <w:jc w:val="both"/>
        <w:rPr>
          <w:rFonts w:cs="Arial"/>
        </w:rPr>
      </w:pPr>
    </w:p>
    <w:p w14:paraId="29580072" w14:textId="3C6C7EE8" w:rsidR="006954F7" w:rsidRPr="00E14CB3" w:rsidRDefault="006954F7" w:rsidP="00D80CC8">
      <w:pPr>
        <w:jc w:val="both"/>
        <w:rPr>
          <w:rFonts w:cs="Arial"/>
        </w:rPr>
      </w:pPr>
      <w:r w:rsidRPr="00E14CB3">
        <w:rPr>
          <w:rFonts w:cs="Arial"/>
        </w:rPr>
        <w:t>The</w:t>
      </w:r>
      <w:r w:rsidR="00172029">
        <w:rPr>
          <w:rFonts w:cs="Arial"/>
        </w:rPr>
        <w:t xml:space="preserve"> priority</w:t>
      </w:r>
      <w:r w:rsidRPr="00E14CB3">
        <w:rPr>
          <w:rFonts w:cs="Arial"/>
        </w:rPr>
        <w:t xml:space="preserve"> bands are:</w:t>
      </w:r>
    </w:p>
    <w:p w14:paraId="3015EC42" w14:textId="77777777" w:rsidR="006954F7" w:rsidRPr="00E14CB3" w:rsidRDefault="006954F7" w:rsidP="00D80CC8">
      <w:pPr>
        <w:jc w:val="both"/>
        <w:rPr>
          <w:rFonts w:cs="Arial"/>
        </w:rPr>
      </w:pPr>
      <w:r w:rsidRPr="00E14CB3">
        <w:rPr>
          <w:rFonts w:cs="Arial"/>
        </w:rPr>
        <w:t xml:space="preserve">A+ Emergencies and Under-occupiers </w:t>
      </w:r>
    </w:p>
    <w:p w14:paraId="54156775" w14:textId="77777777" w:rsidR="006954F7" w:rsidRPr="00E14CB3" w:rsidRDefault="006954F7" w:rsidP="00D80CC8">
      <w:pPr>
        <w:jc w:val="both"/>
        <w:rPr>
          <w:rFonts w:cs="Arial"/>
        </w:rPr>
      </w:pPr>
      <w:proofErr w:type="gramStart"/>
      <w:r w:rsidRPr="00E14CB3">
        <w:rPr>
          <w:rFonts w:cs="Arial"/>
        </w:rPr>
        <w:t>A</w:t>
      </w:r>
      <w:proofErr w:type="gramEnd"/>
      <w:r w:rsidRPr="00E14CB3">
        <w:rPr>
          <w:rFonts w:cs="Arial"/>
        </w:rPr>
        <w:t xml:space="preserve">   Urgent and High Priority</w:t>
      </w:r>
    </w:p>
    <w:p w14:paraId="542ED848" w14:textId="77777777" w:rsidR="006954F7" w:rsidRPr="00E14CB3" w:rsidRDefault="006954F7" w:rsidP="00D80CC8">
      <w:pPr>
        <w:jc w:val="both"/>
        <w:rPr>
          <w:rFonts w:cs="Arial"/>
        </w:rPr>
      </w:pPr>
      <w:r w:rsidRPr="00E14CB3">
        <w:rPr>
          <w:rFonts w:cs="Arial"/>
        </w:rPr>
        <w:t>B   Standard Priority</w:t>
      </w:r>
    </w:p>
    <w:p w14:paraId="242C27C3" w14:textId="77777777" w:rsidR="006954F7" w:rsidRPr="00E14CB3" w:rsidRDefault="006954F7" w:rsidP="00D80CC8">
      <w:pPr>
        <w:jc w:val="both"/>
        <w:rPr>
          <w:rFonts w:cs="Arial"/>
        </w:rPr>
      </w:pPr>
      <w:r w:rsidRPr="00E14CB3">
        <w:rPr>
          <w:rFonts w:cs="Arial"/>
        </w:rPr>
        <w:t>C   Non-urgent</w:t>
      </w:r>
    </w:p>
    <w:p w14:paraId="4CFE2301" w14:textId="4DF2896D" w:rsidR="006954F7" w:rsidRPr="00E14CB3" w:rsidRDefault="006954F7" w:rsidP="00D80CC8">
      <w:pPr>
        <w:jc w:val="both"/>
        <w:rPr>
          <w:rFonts w:cs="Arial"/>
        </w:rPr>
      </w:pPr>
      <w:r w:rsidRPr="00E14CB3">
        <w:rPr>
          <w:rFonts w:cs="Arial"/>
        </w:rPr>
        <w:t>C</w:t>
      </w:r>
      <w:r w:rsidR="00055379">
        <w:rPr>
          <w:rFonts w:cs="Arial"/>
        </w:rPr>
        <w:t>-</w:t>
      </w:r>
      <w:r w:rsidR="00D3635B">
        <w:rPr>
          <w:rFonts w:cs="Arial"/>
        </w:rPr>
        <w:t xml:space="preserve"> </w:t>
      </w:r>
      <w:r w:rsidRPr="00E14CB3">
        <w:rPr>
          <w:rFonts w:cs="Arial"/>
        </w:rPr>
        <w:t xml:space="preserve">  Initial preference </w:t>
      </w:r>
    </w:p>
    <w:p w14:paraId="6B3D0CD7" w14:textId="5F9ED7D0" w:rsidR="00B72B00" w:rsidRDefault="00B72B00" w:rsidP="00D80CC8">
      <w:pPr>
        <w:jc w:val="both"/>
      </w:pPr>
    </w:p>
    <w:p w14:paraId="5F6A780A" w14:textId="224884B5" w:rsidR="00E7161C" w:rsidRPr="009025F6" w:rsidRDefault="00CE3F2A" w:rsidP="00D80CC8">
      <w:pPr>
        <w:jc w:val="both"/>
        <w:rPr>
          <w:rFonts w:cs="Arial"/>
          <w:b/>
        </w:rPr>
      </w:pPr>
      <w:r w:rsidRPr="009025F6">
        <w:rPr>
          <w:rFonts w:cs="Arial"/>
          <w:b/>
        </w:rPr>
        <w:t>3.2.</w:t>
      </w:r>
      <w:r w:rsidR="006800C4" w:rsidRPr="009025F6">
        <w:rPr>
          <w:rFonts w:cs="Arial"/>
          <w:b/>
        </w:rPr>
        <w:t>3</w:t>
      </w:r>
      <w:r w:rsidRPr="009025F6">
        <w:rPr>
          <w:rFonts w:cs="Arial"/>
          <w:b/>
        </w:rPr>
        <w:tab/>
      </w:r>
      <w:r w:rsidR="00E7161C" w:rsidRPr="009025F6">
        <w:rPr>
          <w:rFonts w:cs="Arial"/>
          <w:b/>
        </w:rPr>
        <w:t>Choice Based Lettings</w:t>
      </w:r>
    </w:p>
    <w:p w14:paraId="128BF260" w14:textId="77777777" w:rsidR="00E7161C" w:rsidRPr="0039069E" w:rsidRDefault="00E7161C" w:rsidP="00D80CC8">
      <w:pPr>
        <w:jc w:val="both"/>
        <w:rPr>
          <w:rFonts w:cs="Arial"/>
        </w:rPr>
      </w:pPr>
    </w:p>
    <w:p w14:paraId="25E639EA" w14:textId="78346F1A" w:rsidR="00E7161C" w:rsidRPr="00335666" w:rsidRDefault="00B137E4" w:rsidP="00D80CC8">
      <w:pPr>
        <w:tabs>
          <w:tab w:val="num" w:pos="720"/>
        </w:tabs>
        <w:jc w:val="both"/>
        <w:rPr>
          <w:rFonts w:cs="Arial"/>
        </w:rPr>
      </w:pPr>
      <w:r>
        <w:rPr>
          <w:rFonts w:cs="Arial"/>
        </w:rPr>
        <w:t xml:space="preserve">The </w:t>
      </w:r>
      <w:r w:rsidR="00E7161C" w:rsidRPr="00335666">
        <w:rPr>
          <w:rFonts w:cs="Arial"/>
        </w:rPr>
        <w:t xml:space="preserve">Choice </w:t>
      </w:r>
      <w:r>
        <w:rPr>
          <w:rFonts w:cs="Arial"/>
        </w:rPr>
        <w:t>B</w:t>
      </w:r>
      <w:r w:rsidR="00E7161C" w:rsidRPr="00335666">
        <w:rPr>
          <w:rFonts w:cs="Arial"/>
        </w:rPr>
        <w:t xml:space="preserve">ased </w:t>
      </w:r>
      <w:r>
        <w:rPr>
          <w:rFonts w:cs="Arial"/>
        </w:rPr>
        <w:t>L</w:t>
      </w:r>
      <w:r w:rsidR="00E7161C" w:rsidRPr="00335666">
        <w:rPr>
          <w:rFonts w:cs="Arial"/>
        </w:rPr>
        <w:t xml:space="preserve">ettings (CBL) </w:t>
      </w:r>
      <w:r>
        <w:rPr>
          <w:rFonts w:cs="Arial"/>
        </w:rPr>
        <w:t xml:space="preserve">method </w:t>
      </w:r>
      <w:r w:rsidR="00E7161C" w:rsidRPr="00335666">
        <w:rPr>
          <w:rFonts w:cs="Arial"/>
        </w:rPr>
        <w:t>allow</w:t>
      </w:r>
      <w:r>
        <w:rPr>
          <w:rFonts w:cs="Arial"/>
        </w:rPr>
        <w:t>s</w:t>
      </w:r>
      <w:r w:rsidR="00E7161C" w:rsidRPr="00335666">
        <w:rPr>
          <w:rFonts w:cs="Arial"/>
        </w:rPr>
        <w:t xml:space="preserve"> applicants on the housing register (waiting list) to bid for council and housing association properties advertised by the council that they are eligible for.</w:t>
      </w:r>
      <w:r w:rsidR="0028601F">
        <w:rPr>
          <w:rFonts w:cs="Arial"/>
        </w:rPr>
        <w:t xml:space="preserve"> </w:t>
      </w:r>
      <w:r w:rsidR="00E7161C" w:rsidRPr="00335666">
        <w:rPr>
          <w:rFonts w:cs="Arial"/>
        </w:rPr>
        <w:t xml:space="preserve">Some councils use CBL, others make direct offers instead, some use a mixture of CBL and direct </w:t>
      </w:r>
      <w:r w:rsidR="00E7161C" w:rsidRPr="00335666">
        <w:rPr>
          <w:rFonts w:cs="Arial"/>
        </w:rPr>
        <w:lastRenderedPageBreak/>
        <w:t>offers.</w:t>
      </w:r>
      <w:r w:rsidR="0028601F">
        <w:rPr>
          <w:rFonts w:cs="Arial"/>
        </w:rPr>
        <w:t xml:space="preserve"> </w:t>
      </w:r>
      <w:r w:rsidR="00E7161C" w:rsidRPr="00335666">
        <w:rPr>
          <w:rFonts w:cs="Arial"/>
        </w:rPr>
        <w:t xml:space="preserve">Harrow Council mainly uses </w:t>
      </w:r>
      <w:r>
        <w:rPr>
          <w:rFonts w:cs="Arial"/>
        </w:rPr>
        <w:t xml:space="preserve">the </w:t>
      </w:r>
      <w:r w:rsidR="00E7161C" w:rsidRPr="00335666">
        <w:rPr>
          <w:rFonts w:cs="Arial"/>
        </w:rPr>
        <w:t>CBL</w:t>
      </w:r>
      <w:r>
        <w:rPr>
          <w:rFonts w:cs="Arial"/>
        </w:rPr>
        <w:t xml:space="preserve"> method</w:t>
      </w:r>
      <w:r w:rsidR="00E7161C" w:rsidRPr="00335666">
        <w:rPr>
          <w:rFonts w:cs="Arial"/>
        </w:rPr>
        <w:t xml:space="preserve"> </w:t>
      </w:r>
      <w:r>
        <w:rPr>
          <w:rFonts w:cs="Arial"/>
        </w:rPr>
        <w:t xml:space="preserve">along </w:t>
      </w:r>
      <w:r w:rsidR="00E7161C" w:rsidRPr="00335666">
        <w:rPr>
          <w:rFonts w:cs="Arial"/>
        </w:rPr>
        <w:t>with some direct offers</w:t>
      </w:r>
      <w:r w:rsidR="00DE25AB">
        <w:rPr>
          <w:rFonts w:cs="Arial"/>
        </w:rPr>
        <w:t xml:space="preserve">, </w:t>
      </w:r>
      <w:r w:rsidR="00E7161C" w:rsidRPr="00335666">
        <w:rPr>
          <w:rFonts w:cs="Arial"/>
        </w:rPr>
        <w:t>as outlined in the Housing Allocation Scheme.</w:t>
      </w:r>
      <w:r w:rsidRPr="00B137E4">
        <w:rPr>
          <w:rFonts w:cs="Arial"/>
        </w:rPr>
        <w:t xml:space="preserve"> </w:t>
      </w:r>
      <w:r w:rsidRPr="00335666">
        <w:rPr>
          <w:rFonts w:cs="Arial"/>
        </w:rPr>
        <w:t xml:space="preserve">Harrow Council </w:t>
      </w:r>
      <w:r>
        <w:rPr>
          <w:rFonts w:cs="Arial"/>
        </w:rPr>
        <w:t xml:space="preserve">uses the </w:t>
      </w:r>
      <w:r w:rsidRPr="0028601F">
        <w:rPr>
          <w:rFonts w:cs="Arial"/>
        </w:rPr>
        <w:t>Locata</w:t>
      </w:r>
      <w:r w:rsidRPr="00335666">
        <w:rPr>
          <w:rFonts w:cs="Arial"/>
        </w:rPr>
        <w:t xml:space="preserve"> CBL scheme.</w:t>
      </w:r>
    </w:p>
    <w:p w14:paraId="6BCA2C63" w14:textId="77777777" w:rsidR="006954F7" w:rsidRDefault="006954F7" w:rsidP="00D80CC8">
      <w:pPr>
        <w:jc w:val="both"/>
      </w:pPr>
    </w:p>
    <w:p w14:paraId="3174C793" w14:textId="08ED4297" w:rsidR="00BC13C2" w:rsidRPr="003D6669" w:rsidRDefault="003D6669" w:rsidP="00D80CC8">
      <w:pPr>
        <w:jc w:val="both"/>
        <w:rPr>
          <w:b/>
          <w:bCs/>
        </w:rPr>
      </w:pPr>
      <w:r w:rsidRPr="003D6669">
        <w:rPr>
          <w:b/>
          <w:bCs/>
        </w:rPr>
        <w:t>3.3</w:t>
      </w:r>
      <w:r w:rsidRPr="003D6669">
        <w:rPr>
          <w:b/>
          <w:bCs/>
        </w:rPr>
        <w:tab/>
      </w:r>
      <w:r w:rsidR="00874D8A" w:rsidRPr="003D6669">
        <w:rPr>
          <w:b/>
          <w:bCs/>
        </w:rPr>
        <w:t>Tenancy Strategy and the Tenancy Policy</w:t>
      </w:r>
    </w:p>
    <w:p w14:paraId="2D49E245" w14:textId="77777777" w:rsidR="00874D8A" w:rsidRDefault="00874D8A" w:rsidP="00D80CC8">
      <w:pPr>
        <w:jc w:val="both"/>
      </w:pPr>
    </w:p>
    <w:p w14:paraId="28E87684" w14:textId="3DC0F642" w:rsidR="00BC13C2" w:rsidRDefault="00BC13C2" w:rsidP="00D80CC8">
      <w:pPr>
        <w:jc w:val="both"/>
      </w:pPr>
      <w:r>
        <w:t xml:space="preserve">The Tenancy Strategy </w:t>
      </w:r>
      <w:r w:rsidR="00360C1E">
        <w:t>was</w:t>
      </w:r>
      <w:r>
        <w:t xml:space="preserve"> approved/last reviewed </w:t>
      </w:r>
      <w:r w:rsidRPr="00EB50F5">
        <w:t xml:space="preserve">in </w:t>
      </w:r>
      <w:r w:rsidR="00360C1E" w:rsidRPr="00EB50F5">
        <w:t>2012</w:t>
      </w:r>
      <w:r w:rsidRPr="00EB50F5">
        <w:t>.</w:t>
      </w:r>
      <w:r w:rsidR="00360C1E" w:rsidRPr="00EB50F5">
        <w:t xml:space="preserve"> The Tenan</w:t>
      </w:r>
      <w:r w:rsidR="000012F9">
        <w:t>cy</w:t>
      </w:r>
      <w:r w:rsidR="00360C1E" w:rsidRPr="00EB50F5">
        <w:t xml:space="preserve"> Policy was last reviewed in 2018.</w:t>
      </w:r>
    </w:p>
    <w:p w14:paraId="21A02B13" w14:textId="18A14B13" w:rsidR="003D6669" w:rsidRDefault="003D6669" w:rsidP="00D80CC8">
      <w:pPr>
        <w:jc w:val="both"/>
      </w:pPr>
    </w:p>
    <w:p w14:paraId="7EC9E334" w14:textId="185F3634" w:rsidR="003D6669" w:rsidRPr="009025F6" w:rsidRDefault="003D6669" w:rsidP="00D80CC8">
      <w:pPr>
        <w:jc w:val="both"/>
        <w:rPr>
          <w:b/>
        </w:rPr>
      </w:pPr>
      <w:r w:rsidRPr="009025F6">
        <w:rPr>
          <w:b/>
        </w:rPr>
        <w:t>3.3.1</w:t>
      </w:r>
      <w:r w:rsidRPr="009025F6">
        <w:rPr>
          <w:b/>
        </w:rPr>
        <w:tab/>
        <w:t>Flexible Tenancies</w:t>
      </w:r>
    </w:p>
    <w:p w14:paraId="6DA9B19B" w14:textId="0E2765AE" w:rsidR="00BC13C2" w:rsidRDefault="00BC13C2" w:rsidP="00D80CC8">
      <w:pPr>
        <w:jc w:val="both"/>
        <w:rPr>
          <w:rFonts w:cs="Arial"/>
          <w:color w:val="0000FF"/>
          <w:sz w:val="28"/>
          <w:szCs w:val="28"/>
        </w:rPr>
      </w:pPr>
    </w:p>
    <w:p w14:paraId="13ADD0B4" w14:textId="0928A5F8" w:rsidR="0072373B" w:rsidRDefault="005E45BB" w:rsidP="00D80CC8">
      <w:pPr>
        <w:tabs>
          <w:tab w:val="num" w:pos="720"/>
        </w:tabs>
        <w:jc w:val="both"/>
        <w:rPr>
          <w:rFonts w:cs="Arial"/>
        </w:rPr>
      </w:pPr>
      <w:r>
        <w:rPr>
          <w:rFonts w:cs="Arial"/>
        </w:rPr>
        <w:t xml:space="preserve">Harrow Council </w:t>
      </w:r>
      <w:r w:rsidR="00C27F0D">
        <w:rPr>
          <w:rFonts w:cs="Arial"/>
        </w:rPr>
        <w:t>introduced f</w:t>
      </w:r>
      <w:r w:rsidR="0072373B" w:rsidRPr="00810C06">
        <w:rPr>
          <w:rFonts w:cs="Arial"/>
        </w:rPr>
        <w:t>lexible tenancies</w:t>
      </w:r>
      <w:r w:rsidR="00407B5D">
        <w:rPr>
          <w:rFonts w:cs="Arial"/>
        </w:rPr>
        <w:t xml:space="preserve"> in 2012 </w:t>
      </w:r>
      <w:r w:rsidR="0067138A">
        <w:rPr>
          <w:rFonts w:cs="Arial"/>
        </w:rPr>
        <w:t xml:space="preserve">for </w:t>
      </w:r>
      <w:r w:rsidR="00102252">
        <w:rPr>
          <w:rFonts w:cs="Arial"/>
        </w:rPr>
        <w:t xml:space="preserve">general needs </w:t>
      </w:r>
      <w:r w:rsidR="0067138A">
        <w:rPr>
          <w:rFonts w:cs="Arial"/>
        </w:rPr>
        <w:t xml:space="preserve">council tenancies </w:t>
      </w:r>
      <w:r w:rsidR="00407B5D">
        <w:rPr>
          <w:rFonts w:cs="Arial"/>
        </w:rPr>
        <w:t xml:space="preserve">in recognition of the extremely limited social housing supply in Harrow, to encourage better use </w:t>
      </w:r>
      <w:proofErr w:type="gramStart"/>
      <w:r w:rsidR="00407B5D">
        <w:rPr>
          <w:rFonts w:cs="Arial"/>
        </w:rPr>
        <w:t>in particular of</w:t>
      </w:r>
      <w:proofErr w:type="gramEnd"/>
      <w:r w:rsidR="00407B5D">
        <w:rPr>
          <w:rFonts w:cs="Arial"/>
        </w:rPr>
        <w:t xml:space="preserve"> large family homes. For example</w:t>
      </w:r>
      <w:r w:rsidR="0067138A">
        <w:rPr>
          <w:rFonts w:cs="Arial"/>
        </w:rPr>
        <w:t xml:space="preserve"> they could be used</w:t>
      </w:r>
      <w:r w:rsidR="00407B5D">
        <w:rPr>
          <w:rFonts w:cs="Arial"/>
        </w:rPr>
        <w:t xml:space="preserve"> to </w:t>
      </w:r>
      <w:r w:rsidR="007D2CEF">
        <w:rPr>
          <w:rFonts w:cs="Arial"/>
        </w:rPr>
        <w:t>require</w:t>
      </w:r>
      <w:r w:rsidR="00407B5D">
        <w:rPr>
          <w:rFonts w:cs="Arial"/>
        </w:rPr>
        <w:t xml:space="preserve"> single people living in family homes</w:t>
      </w:r>
      <w:r w:rsidR="00F02205">
        <w:rPr>
          <w:rFonts w:cs="Arial"/>
        </w:rPr>
        <w:t xml:space="preserve"> that were previously suitable for their needs</w:t>
      </w:r>
      <w:r w:rsidR="00407B5D">
        <w:rPr>
          <w:rFonts w:cs="Arial"/>
        </w:rPr>
        <w:t xml:space="preserve"> to downsize and enable </w:t>
      </w:r>
      <w:r w:rsidR="0067138A">
        <w:rPr>
          <w:rFonts w:cs="Arial"/>
        </w:rPr>
        <w:t>them</w:t>
      </w:r>
      <w:r w:rsidR="00407B5D">
        <w:rPr>
          <w:rFonts w:cs="Arial"/>
        </w:rPr>
        <w:t xml:space="preserve"> to be allocated to famil</w:t>
      </w:r>
      <w:r w:rsidR="0067138A">
        <w:rPr>
          <w:rFonts w:cs="Arial"/>
        </w:rPr>
        <w:t>ies</w:t>
      </w:r>
      <w:r w:rsidR="00407B5D">
        <w:rPr>
          <w:rFonts w:cs="Arial"/>
        </w:rPr>
        <w:t>.</w:t>
      </w:r>
      <w:r w:rsidR="007634D2">
        <w:rPr>
          <w:rFonts w:cs="Arial"/>
        </w:rPr>
        <w:t xml:space="preserve"> </w:t>
      </w:r>
      <w:r w:rsidR="00332B63">
        <w:rPr>
          <w:rFonts w:cs="Arial"/>
        </w:rPr>
        <w:t xml:space="preserve">It is not mandatory for social </w:t>
      </w:r>
      <w:r w:rsidR="00B84878">
        <w:rPr>
          <w:rFonts w:cs="Arial"/>
        </w:rPr>
        <w:t>landlords</w:t>
      </w:r>
      <w:r w:rsidR="00332B63">
        <w:rPr>
          <w:rFonts w:cs="Arial"/>
        </w:rPr>
        <w:t xml:space="preserve"> to use </w:t>
      </w:r>
      <w:r w:rsidR="007634D2">
        <w:rPr>
          <w:rFonts w:cs="Arial"/>
        </w:rPr>
        <w:t>flexible tenancies.</w:t>
      </w:r>
      <w:r w:rsidR="00407B5D">
        <w:rPr>
          <w:rFonts w:cs="Arial"/>
        </w:rPr>
        <w:t xml:space="preserve"> </w:t>
      </w:r>
      <w:r w:rsidR="0072373B">
        <w:rPr>
          <w:rFonts w:cs="Arial"/>
        </w:rPr>
        <w:t>A</w:t>
      </w:r>
      <w:r w:rsidR="0072373B" w:rsidRPr="00810C06">
        <w:rPr>
          <w:rFonts w:cs="Arial"/>
        </w:rPr>
        <w:t xml:space="preserve">ll new </w:t>
      </w:r>
      <w:r w:rsidR="00E903D2">
        <w:rPr>
          <w:rFonts w:cs="Arial"/>
        </w:rPr>
        <w:t xml:space="preserve">general needs </w:t>
      </w:r>
      <w:r w:rsidR="00D559A5">
        <w:rPr>
          <w:rFonts w:cs="Arial"/>
        </w:rPr>
        <w:t xml:space="preserve">Harrow </w:t>
      </w:r>
      <w:r w:rsidR="00051DB0">
        <w:rPr>
          <w:rFonts w:cs="Arial"/>
        </w:rPr>
        <w:t>council</w:t>
      </w:r>
      <w:r w:rsidR="0072373B" w:rsidRPr="00810C06">
        <w:rPr>
          <w:rFonts w:cs="Arial"/>
        </w:rPr>
        <w:t xml:space="preserve"> tenants are given a 1 year introductory tenancy usually followed by a 5 year flexible tenancy.</w:t>
      </w:r>
      <w:r w:rsidR="0072373B">
        <w:rPr>
          <w:rFonts w:cs="Arial"/>
        </w:rPr>
        <w:t xml:space="preserve"> </w:t>
      </w:r>
      <w:r w:rsidR="0072373B" w:rsidRPr="00810C06">
        <w:rPr>
          <w:rFonts w:cs="Arial"/>
        </w:rPr>
        <w:t xml:space="preserve">Harrow Council chooses to offer a 5 year fixed term for the initial term and any subsequent </w:t>
      </w:r>
      <w:proofErr w:type="gramStart"/>
      <w:r w:rsidR="0072373B" w:rsidRPr="00810C06">
        <w:rPr>
          <w:rFonts w:cs="Arial"/>
        </w:rPr>
        <w:t>tenancies .</w:t>
      </w:r>
      <w:proofErr w:type="gramEnd"/>
      <w:r w:rsidR="0072373B">
        <w:rPr>
          <w:rFonts w:cs="Arial"/>
        </w:rPr>
        <w:t xml:space="preserve"> </w:t>
      </w:r>
      <w:r w:rsidR="0072373B" w:rsidRPr="00810C06">
        <w:rPr>
          <w:rFonts w:cs="Arial"/>
        </w:rPr>
        <w:t xml:space="preserve">A flexible tenancy is a type of secure tenancy </w:t>
      </w:r>
      <w:r w:rsidR="00603DD8">
        <w:rPr>
          <w:rFonts w:cs="Arial"/>
        </w:rPr>
        <w:t xml:space="preserve">but for a fixed length of time </w:t>
      </w:r>
      <w:r w:rsidR="0072373B" w:rsidRPr="00810C06">
        <w:rPr>
          <w:rFonts w:cs="Arial"/>
        </w:rPr>
        <w:t>which gives the tenant and the landlord rights and responsibilities.</w:t>
      </w:r>
      <w:r w:rsidR="0072373B">
        <w:rPr>
          <w:rFonts w:cs="Arial"/>
        </w:rPr>
        <w:t xml:space="preserve"> </w:t>
      </w:r>
      <w:r w:rsidR="0072373B" w:rsidRPr="00810C06">
        <w:rPr>
          <w:rFonts w:cs="Arial"/>
        </w:rPr>
        <w:t>A flexible tenancy can only be ended by a court order.</w:t>
      </w:r>
      <w:r w:rsidR="0072373B">
        <w:rPr>
          <w:rFonts w:cs="Arial"/>
        </w:rPr>
        <w:t xml:space="preserve"> </w:t>
      </w:r>
      <w:r w:rsidR="0072373B" w:rsidRPr="00810C06">
        <w:rPr>
          <w:rFonts w:cs="Arial"/>
        </w:rPr>
        <w:t>The flexible tenancy is reviewed prior to the end of the</w:t>
      </w:r>
      <w:r w:rsidR="00C053E0">
        <w:rPr>
          <w:rFonts w:cs="Arial"/>
        </w:rPr>
        <w:t xml:space="preserve"> fixed period</w:t>
      </w:r>
      <w:r w:rsidR="0072373B" w:rsidRPr="00810C06">
        <w:rPr>
          <w:rFonts w:cs="Arial"/>
        </w:rPr>
        <w:t xml:space="preserve"> and may be renewed for a further 5 years. </w:t>
      </w:r>
      <w:r w:rsidR="0072373B">
        <w:rPr>
          <w:rFonts w:cs="Arial"/>
        </w:rPr>
        <w:t>T</w:t>
      </w:r>
      <w:r w:rsidR="0072373B" w:rsidRPr="00810C06">
        <w:rPr>
          <w:rFonts w:cs="Arial"/>
        </w:rPr>
        <w:t>here is no limit on the number of times a flexible tenancy can be renewed.</w:t>
      </w:r>
    </w:p>
    <w:p w14:paraId="30A5E5A0" w14:textId="17AF15C7" w:rsidR="00F91FA5" w:rsidRDefault="00F91FA5" w:rsidP="00D80CC8">
      <w:pPr>
        <w:tabs>
          <w:tab w:val="num" w:pos="720"/>
        </w:tabs>
        <w:jc w:val="both"/>
        <w:rPr>
          <w:rFonts w:cs="Arial"/>
        </w:rPr>
      </w:pPr>
    </w:p>
    <w:p w14:paraId="32E31F34" w14:textId="706AB7BB" w:rsidR="003D6669" w:rsidRPr="00DD21B4" w:rsidRDefault="003D6669" w:rsidP="00D80CC8">
      <w:pPr>
        <w:tabs>
          <w:tab w:val="num" w:pos="720"/>
        </w:tabs>
        <w:jc w:val="both"/>
        <w:rPr>
          <w:rFonts w:cs="Arial"/>
          <w:b/>
        </w:rPr>
      </w:pPr>
      <w:r w:rsidRPr="00DD21B4">
        <w:rPr>
          <w:rFonts w:cs="Arial"/>
          <w:b/>
        </w:rPr>
        <w:t>3.3.2</w:t>
      </w:r>
      <w:r w:rsidRPr="00DD21B4">
        <w:rPr>
          <w:rFonts w:cs="Arial"/>
          <w:b/>
        </w:rPr>
        <w:tab/>
        <w:t>Review of Flexible Tenancies</w:t>
      </w:r>
    </w:p>
    <w:p w14:paraId="4200A798" w14:textId="77777777" w:rsidR="003D6669" w:rsidRDefault="003D6669" w:rsidP="00D80CC8">
      <w:pPr>
        <w:tabs>
          <w:tab w:val="num" w:pos="720"/>
        </w:tabs>
        <w:jc w:val="both"/>
        <w:rPr>
          <w:rFonts w:cs="Arial"/>
        </w:rPr>
      </w:pPr>
    </w:p>
    <w:p w14:paraId="62D9E889" w14:textId="55207EB3" w:rsidR="00883D9A" w:rsidRPr="008E0D8D" w:rsidRDefault="00F91FA5" w:rsidP="00D80CC8">
      <w:pPr>
        <w:tabs>
          <w:tab w:val="num" w:pos="720"/>
        </w:tabs>
        <w:jc w:val="both"/>
        <w:rPr>
          <w:rFonts w:cs="Arial"/>
        </w:rPr>
      </w:pPr>
      <w:r w:rsidRPr="008E0D8D">
        <w:rPr>
          <w:rFonts w:cs="Arial"/>
        </w:rPr>
        <w:t xml:space="preserve">All flexible tenancies </w:t>
      </w:r>
      <w:r w:rsidR="001C6813">
        <w:rPr>
          <w:rFonts w:cs="Arial"/>
        </w:rPr>
        <w:t xml:space="preserve">held by </w:t>
      </w:r>
      <w:r w:rsidR="001C6813" w:rsidRPr="008E0D8D">
        <w:rPr>
          <w:rFonts w:cs="Arial"/>
        </w:rPr>
        <w:t xml:space="preserve">Harrow Council tenants </w:t>
      </w:r>
      <w:r w:rsidRPr="008E0D8D">
        <w:rPr>
          <w:rFonts w:cs="Arial"/>
        </w:rPr>
        <w:t>are reviewed at least 9 months before they are due to end. This review meeting is carried out with the tenant in their home. The review is conducted initially by a Housing Officer.</w:t>
      </w:r>
      <w:r w:rsidR="001C6813">
        <w:rPr>
          <w:rFonts w:cs="Arial"/>
        </w:rPr>
        <w:t xml:space="preserve"> </w:t>
      </w:r>
      <w:r w:rsidRPr="008E0D8D">
        <w:rPr>
          <w:rFonts w:cs="Arial"/>
        </w:rPr>
        <w:t>The review considers the tenant’s housing needs, personal circumstances and any concerns regarding their tenancy such as rent arrears and anti-social behaviour. The outcome of the review is discussed and agreed with a manager.</w:t>
      </w:r>
      <w:r w:rsidR="001C6813">
        <w:rPr>
          <w:rFonts w:cs="Arial"/>
        </w:rPr>
        <w:t xml:space="preserve"> </w:t>
      </w:r>
      <w:r w:rsidR="00883D9A">
        <w:rPr>
          <w:rFonts w:cs="Arial"/>
        </w:rPr>
        <w:t>All flexible tenancies that have been reviewed to date have been renewed.</w:t>
      </w:r>
    </w:p>
    <w:p w14:paraId="76336987" w14:textId="491777C5" w:rsidR="00F91FA5" w:rsidRPr="00DD21B4" w:rsidRDefault="00F91FA5" w:rsidP="00D80CC8">
      <w:pPr>
        <w:tabs>
          <w:tab w:val="num" w:pos="720"/>
        </w:tabs>
        <w:jc w:val="both"/>
        <w:rPr>
          <w:rFonts w:cs="Arial"/>
          <w:b/>
        </w:rPr>
      </w:pPr>
    </w:p>
    <w:p w14:paraId="245A9DB4" w14:textId="00737BE9" w:rsidR="003D6669" w:rsidRPr="00DD21B4" w:rsidRDefault="003D6669" w:rsidP="00D80CC8">
      <w:pPr>
        <w:tabs>
          <w:tab w:val="num" w:pos="720"/>
        </w:tabs>
        <w:jc w:val="both"/>
        <w:rPr>
          <w:rFonts w:cs="Arial"/>
          <w:b/>
        </w:rPr>
      </w:pPr>
      <w:r w:rsidRPr="00DD21B4">
        <w:rPr>
          <w:rFonts w:cs="Arial"/>
          <w:b/>
        </w:rPr>
        <w:t>3.3.3</w:t>
      </w:r>
      <w:r w:rsidRPr="00DD21B4">
        <w:rPr>
          <w:rFonts w:cs="Arial"/>
          <w:b/>
        </w:rPr>
        <w:tab/>
        <w:t>Renewal of Flexible Tenancies</w:t>
      </w:r>
    </w:p>
    <w:p w14:paraId="74A8C3B7" w14:textId="77777777" w:rsidR="003D6669" w:rsidRDefault="003D6669" w:rsidP="00D80CC8">
      <w:pPr>
        <w:tabs>
          <w:tab w:val="num" w:pos="720"/>
        </w:tabs>
        <w:jc w:val="both"/>
        <w:rPr>
          <w:rFonts w:cs="Arial"/>
        </w:rPr>
      </w:pPr>
    </w:p>
    <w:p w14:paraId="4B25258D" w14:textId="6B1E7F9E" w:rsidR="00CD1C3D" w:rsidRPr="008E0D8D" w:rsidRDefault="00CD1C3D" w:rsidP="00D80CC8">
      <w:pPr>
        <w:tabs>
          <w:tab w:val="num" w:pos="720"/>
        </w:tabs>
        <w:jc w:val="both"/>
        <w:rPr>
          <w:rFonts w:cs="Arial"/>
        </w:rPr>
      </w:pPr>
      <w:r w:rsidRPr="008E0D8D">
        <w:rPr>
          <w:rFonts w:cs="Arial"/>
        </w:rPr>
        <w:t>Following the review, a tenant can be awarded another 5 year tenancy at their current address, a five year tenancy at a different property to suit their household needs or may not be offered a further council tenancy.</w:t>
      </w:r>
      <w:r>
        <w:rPr>
          <w:rFonts w:cs="Arial"/>
        </w:rPr>
        <w:t xml:space="preserve"> </w:t>
      </w:r>
      <w:r w:rsidRPr="008E0D8D">
        <w:rPr>
          <w:rFonts w:cs="Arial"/>
        </w:rPr>
        <w:t>We expect most flexible tenancies to be renewed after review.</w:t>
      </w:r>
    </w:p>
    <w:p w14:paraId="6030CC94" w14:textId="77777777" w:rsidR="00CD1C3D" w:rsidRDefault="00CD1C3D" w:rsidP="00D80CC8">
      <w:pPr>
        <w:jc w:val="both"/>
        <w:rPr>
          <w:rFonts w:cs="Arial"/>
        </w:rPr>
      </w:pPr>
    </w:p>
    <w:p w14:paraId="0DD1EA49" w14:textId="2C63FD74" w:rsidR="004E69EE" w:rsidRDefault="004E69EE" w:rsidP="00D80CC8">
      <w:pPr>
        <w:jc w:val="both"/>
        <w:rPr>
          <w:rFonts w:cs="Arial"/>
        </w:rPr>
      </w:pPr>
      <w:r w:rsidRPr="00113F21">
        <w:rPr>
          <w:rFonts w:cs="Arial"/>
        </w:rPr>
        <w:t xml:space="preserve">We </w:t>
      </w:r>
      <w:r w:rsidR="008A4272">
        <w:rPr>
          <w:rFonts w:cs="Arial"/>
        </w:rPr>
        <w:t xml:space="preserve">currently </w:t>
      </w:r>
      <w:r w:rsidRPr="00113F21">
        <w:rPr>
          <w:rFonts w:cs="Arial"/>
        </w:rPr>
        <w:t xml:space="preserve">have </w:t>
      </w:r>
      <w:proofErr w:type="gramStart"/>
      <w:r w:rsidRPr="00113F21">
        <w:rPr>
          <w:rFonts w:cs="Arial"/>
        </w:rPr>
        <w:t>a number of</w:t>
      </w:r>
      <w:proofErr w:type="gramEnd"/>
      <w:r w:rsidRPr="00113F21">
        <w:rPr>
          <w:rFonts w:cs="Arial"/>
        </w:rPr>
        <w:t xml:space="preserve"> ‘automatic renewal’ categories, including:</w:t>
      </w:r>
    </w:p>
    <w:p w14:paraId="4FA50CF0" w14:textId="77777777" w:rsidR="00DD21B4" w:rsidRPr="00113F21" w:rsidRDefault="00DD21B4" w:rsidP="00D80CC8">
      <w:pPr>
        <w:jc w:val="both"/>
        <w:rPr>
          <w:rFonts w:cs="Arial"/>
        </w:rPr>
      </w:pPr>
    </w:p>
    <w:p w14:paraId="4915BCD9" w14:textId="77777777" w:rsidR="004E69EE" w:rsidRPr="00113F21" w:rsidRDefault="004E69EE" w:rsidP="00D95BC4">
      <w:pPr>
        <w:numPr>
          <w:ilvl w:val="0"/>
          <w:numId w:val="4"/>
        </w:numPr>
        <w:jc w:val="both"/>
        <w:rPr>
          <w:rFonts w:cs="Arial"/>
        </w:rPr>
      </w:pPr>
      <w:r w:rsidRPr="00113F21">
        <w:rPr>
          <w:rFonts w:cs="Arial"/>
        </w:rPr>
        <w:t>tenants or a member of the household with a disability and receiving qualifying disability benefits</w:t>
      </w:r>
    </w:p>
    <w:p w14:paraId="61FAB1DD" w14:textId="1679510D" w:rsidR="004E69EE" w:rsidRPr="00113F21" w:rsidRDefault="004E69EE" w:rsidP="00D95BC4">
      <w:pPr>
        <w:numPr>
          <w:ilvl w:val="0"/>
          <w:numId w:val="4"/>
        </w:numPr>
        <w:jc w:val="both"/>
        <w:rPr>
          <w:rFonts w:cs="Arial"/>
        </w:rPr>
      </w:pPr>
      <w:r w:rsidRPr="00113F21">
        <w:rPr>
          <w:rFonts w:cs="Arial"/>
        </w:rPr>
        <w:t>tenants with a member of the household with a severe learning disability or enduring mental health needs confirmed by Adult Social Care or Children’s Services</w:t>
      </w:r>
    </w:p>
    <w:p w14:paraId="69864DBD" w14:textId="77777777" w:rsidR="004E69EE" w:rsidRPr="00113F21" w:rsidRDefault="004E69EE" w:rsidP="00D95BC4">
      <w:pPr>
        <w:numPr>
          <w:ilvl w:val="0"/>
          <w:numId w:val="4"/>
        </w:numPr>
        <w:jc w:val="both"/>
        <w:rPr>
          <w:rFonts w:cs="Arial"/>
        </w:rPr>
      </w:pPr>
      <w:r w:rsidRPr="00113F21">
        <w:rPr>
          <w:rFonts w:cs="Arial"/>
        </w:rPr>
        <w:lastRenderedPageBreak/>
        <w:t>tenants receiving continued support from the Leaving Care team.</w:t>
      </w:r>
    </w:p>
    <w:p w14:paraId="60613F6C" w14:textId="77777777" w:rsidR="004E69EE" w:rsidRPr="0039069E" w:rsidRDefault="004E69EE" w:rsidP="00D80CC8">
      <w:pPr>
        <w:jc w:val="both"/>
        <w:rPr>
          <w:rFonts w:cs="Arial"/>
        </w:rPr>
      </w:pPr>
    </w:p>
    <w:p w14:paraId="0DCB046E" w14:textId="77777777" w:rsidR="004E69EE" w:rsidRPr="0039069E" w:rsidRDefault="004E69EE" w:rsidP="00D80CC8">
      <w:pPr>
        <w:jc w:val="both"/>
        <w:rPr>
          <w:rFonts w:cs="Arial"/>
        </w:rPr>
      </w:pPr>
      <w:r w:rsidRPr="00113F21">
        <w:rPr>
          <w:rFonts w:cs="Arial"/>
        </w:rPr>
        <w:t>This means that following a review meeting, Harrow Council tenants in the above categories will always be offered a further 5 year flexible tenancy.</w:t>
      </w:r>
    </w:p>
    <w:p w14:paraId="66D111EA" w14:textId="77777777" w:rsidR="0072373B" w:rsidRPr="00D80CC8" w:rsidRDefault="0072373B" w:rsidP="00D80CC8">
      <w:pPr>
        <w:jc w:val="both"/>
        <w:rPr>
          <w:rFonts w:cs="Arial"/>
          <w:sz w:val="28"/>
          <w:szCs w:val="28"/>
        </w:rPr>
      </w:pPr>
    </w:p>
    <w:p w14:paraId="61DC73AF" w14:textId="4F22DCCF" w:rsidR="00333FAA" w:rsidRPr="00D80CC8" w:rsidRDefault="00333FAA" w:rsidP="00D95BC4">
      <w:pPr>
        <w:pStyle w:val="Heading2"/>
        <w:numPr>
          <w:ilvl w:val="0"/>
          <w:numId w:val="5"/>
        </w:numPr>
        <w:jc w:val="both"/>
        <w:rPr>
          <w:rFonts w:ascii="Arial" w:hAnsi="Arial"/>
          <w:sz w:val="28"/>
          <w:szCs w:val="28"/>
        </w:rPr>
      </w:pPr>
      <w:r w:rsidRPr="00D80CC8">
        <w:rPr>
          <w:rFonts w:ascii="Arial" w:hAnsi="Arial"/>
          <w:sz w:val="28"/>
          <w:szCs w:val="28"/>
        </w:rPr>
        <w:t>Why a change is needed</w:t>
      </w:r>
    </w:p>
    <w:p w14:paraId="61DC73B0" w14:textId="0207C0C6" w:rsidR="00333FAA" w:rsidRPr="009B108A" w:rsidRDefault="00333FAA" w:rsidP="00D80CC8">
      <w:pPr>
        <w:jc w:val="both"/>
        <w:rPr>
          <w:rFonts w:cs="Arial"/>
          <w:b/>
          <w:bCs/>
          <w:color w:val="0000FF"/>
          <w:sz w:val="28"/>
          <w:szCs w:val="28"/>
        </w:rPr>
      </w:pPr>
    </w:p>
    <w:p w14:paraId="073487AE" w14:textId="2AB1246B" w:rsidR="00C64136" w:rsidRPr="00315EC8" w:rsidRDefault="00C64136" w:rsidP="00D80CC8">
      <w:pPr>
        <w:autoSpaceDE w:val="0"/>
        <w:autoSpaceDN w:val="0"/>
        <w:adjustRightInd w:val="0"/>
        <w:jc w:val="both"/>
        <w:rPr>
          <w:rFonts w:cs="Arial"/>
          <w:b/>
          <w:bCs/>
          <w:szCs w:val="24"/>
          <w:lang w:eastAsia="en-GB"/>
        </w:rPr>
      </w:pPr>
      <w:r w:rsidRPr="009B108A">
        <w:rPr>
          <w:rFonts w:cs="Arial"/>
          <w:b/>
          <w:bCs/>
          <w:szCs w:val="24"/>
          <w:lang w:eastAsia="en-GB"/>
        </w:rPr>
        <w:t>4.1</w:t>
      </w:r>
      <w:r w:rsidRPr="009B108A">
        <w:rPr>
          <w:rFonts w:cs="Arial"/>
          <w:b/>
          <w:bCs/>
          <w:szCs w:val="24"/>
          <w:lang w:eastAsia="en-GB"/>
        </w:rPr>
        <w:tab/>
      </w:r>
      <w:r w:rsidRPr="00315EC8">
        <w:rPr>
          <w:rFonts w:cs="Arial"/>
          <w:b/>
          <w:bCs/>
          <w:szCs w:val="24"/>
          <w:lang w:eastAsia="en-GB"/>
        </w:rPr>
        <w:t xml:space="preserve">National, </w:t>
      </w:r>
      <w:r w:rsidR="0072268E" w:rsidRPr="00315EC8">
        <w:rPr>
          <w:rFonts w:cs="Arial"/>
          <w:b/>
          <w:bCs/>
          <w:szCs w:val="24"/>
          <w:lang w:eastAsia="en-GB"/>
        </w:rPr>
        <w:t>regional,</w:t>
      </w:r>
      <w:r w:rsidRPr="00315EC8">
        <w:rPr>
          <w:rFonts w:cs="Arial"/>
          <w:b/>
          <w:bCs/>
          <w:szCs w:val="24"/>
          <w:lang w:eastAsia="en-GB"/>
        </w:rPr>
        <w:t xml:space="preserve"> and local changes</w:t>
      </w:r>
    </w:p>
    <w:p w14:paraId="6056B7F5" w14:textId="645F5761" w:rsidR="00C64136" w:rsidRDefault="00C64136" w:rsidP="00D80CC8">
      <w:pPr>
        <w:autoSpaceDE w:val="0"/>
        <w:autoSpaceDN w:val="0"/>
        <w:adjustRightInd w:val="0"/>
        <w:jc w:val="both"/>
        <w:rPr>
          <w:rFonts w:cs="Arial"/>
          <w:szCs w:val="24"/>
          <w:lang w:eastAsia="en-GB"/>
        </w:rPr>
      </w:pPr>
    </w:p>
    <w:p w14:paraId="17D7F3E2" w14:textId="7AE03A96" w:rsidR="00C871C3" w:rsidRDefault="00C871C3" w:rsidP="00D80CC8">
      <w:pPr>
        <w:autoSpaceDE w:val="0"/>
        <w:autoSpaceDN w:val="0"/>
        <w:adjustRightInd w:val="0"/>
        <w:jc w:val="both"/>
        <w:rPr>
          <w:rFonts w:cs="Arial"/>
          <w:szCs w:val="24"/>
          <w:lang w:eastAsia="en-GB"/>
        </w:rPr>
      </w:pPr>
      <w:r>
        <w:rPr>
          <w:rFonts w:cs="Arial"/>
          <w:szCs w:val="24"/>
          <w:lang w:eastAsia="en-GB"/>
        </w:rPr>
        <w:t>A range of changes have occurred since 2012 related to key policies,</w:t>
      </w:r>
    </w:p>
    <w:p w14:paraId="52B3F473" w14:textId="77777777" w:rsidR="00C871C3" w:rsidRDefault="00C871C3" w:rsidP="00D80CC8">
      <w:pPr>
        <w:autoSpaceDE w:val="0"/>
        <w:autoSpaceDN w:val="0"/>
        <w:adjustRightInd w:val="0"/>
        <w:jc w:val="both"/>
        <w:rPr>
          <w:rFonts w:cs="Arial"/>
          <w:szCs w:val="24"/>
          <w:lang w:eastAsia="en-GB"/>
        </w:rPr>
      </w:pPr>
      <w:r>
        <w:rPr>
          <w:rFonts w:cs="Arial"/>
          <w:szCs w:val="24"/>
          <w:lang w:eastAsia="en-GB"/>
        </w:rPr>
        <w:t>legislation and drivers contained in the housing and homelessness strategies.</w:t>
      </w:r>
    </w:p>
    <w:p w14:paraId="5F93EE4D" w14:textId="77777777" w:rsidR="00107EB9" w:rsidRDefault="00107EB9" w:rsidP="00D80CC8">
      <w:pPr>
        <w:autoSpaceDE w:val="0"/>
        <w:autoSpaceDN w:val="0"/>
        <w:adjustRightInd w:val="0"/>
        <w:jc w:val="both"/>
        <w:rPr>
          <w:rFonts w:cs="Arial"/>
          <w:szCs w:val="24"/>
          <w:lang w:eastAsia="en-GB"/>
        </w:rPr>
      </w:pPr>
    </w:p>
    <w:p w14:paraId="5CB5C754" w14:textId="4215F63A" w:rsidR="00C871C3" w:rsidRDefault="00C871C3" w:rsidP="00D80CC8">
      <w:pPr>
        <w:autoSpaceDE w:val="0"/>
        <w:autoSpaceDN w:val="0"/>
        <w:adjustRightInd w:val="0"/>
        <w:jc w:val="both"/>
        <w:rPr>
          <w:rFonts w:cs="Arial"/>
          <w:szCs w:val="24"/>
          <w:lang w:eastAsia="en-GB"/>
        </w:rPr>
      </w:pPr>
      <w:r>
        <w:rPr>
          <w:rFonts w:cs="Arial"/>
          <w:szCs w:val="24"/>
          <w:lang w:eastAsia="en-GB"/>
        </w:rPr>
        <w:t>These include:</w:t>
      </w:r>
    </w:p>
    <w:p w14:paraId="3BEEB510" w14:textId="77777777" w:rsidR="00DD21B4" w:rsidRDefault="00DD21B4" w:rsidP="00D80CC8">
      <w:pPr>
        <w:autoSpaceDE w:val="0"/>
        <w:autoSpaceDN w:val="0"/>
        <w:adjustRightInd w:val="0"/>
        <w:jc w:val="both"/>
        <w:rPr>
          <w:rFonts w:cs="Arial"/>
          <w:szCs w:val="24"/>
          <w:lang w:eastAsia="en-GB"/>
        </w:rPr>
      </w:pPr>
    </w:p>
    <w:p w14:paraId="31C4A1EC" w14:textId="3C60701E" w:rsidR="00C871C3" w:rsidRDefault="00C871C3" w:rsidP="00D80CC8">
      <w:pPr>
        <w:autoSpaceDE w:val="0"/>
        <w:autoSpaceDN w:val="0"/>
        <w:adjustRightInd w:val="0"/>
        <w:jc w:val="both"/>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Changes to welfare benefits (e.g. Benefit Cap, Bedroom Tax</w:t>
      </w:r>
      <w:r w:rsidR="00575944">
        <w:rPr>
          <w:rFonts w:cs="Arial"/>
          <w:szCs w:val="24"/>
          <w:lang w:eastAsia="en-GB"/>
        </w:rPr>
        <w:t>/Under Occupancy Charge/Spare Room Subsidy</w:t>
      </w:r>
      <w:r>
        <w:rPr>
          <w:rFonts w:cs="Arial"/>
          <w:szCs w:val="24"/>
          <w:lang w:eastAsia="en-GB"/>
        </w:rPr>
        <w:t>, Universal</w:t>
      </w:r>
      <w:r w:rsidR="00575944">
        <w:rPr>
          <w:rFonts w:cs="Arial"/>
          <w:szCs w:val="24"/>
          <w:lang w:eastAsia="en-GB"/>
        </w:rPr>
        <w:t xml:space="preserve"> </w:t>
      </w:r>
      <w:r>
        <w:rPr>
          <w:rFonts w:cs="Arial"/>
          <w:szCs w:val="24"/>
          <w:lang w:eastAsia="en-GB"/>
        </w:rPr>
        <w:t>Credit, benefit</w:t>
      </w:r>
      <w:r w:rsidR="00575944">
        <w:rPr>
          <w:rFonts w:cs="Arial"/>
          <w:szCs w:val="24"/>
          <w:lang w:eastAsia="en-GB"/>
        </w:rPr>
        <w:t>s</w:t>
      </w:r>
      <w:r>
        <w:rPr>
          <w:rFonts w:cs="Arial"/>
          <w:szCs w:val="24"/>
          <w:lang w:eastAsia="en-GB"/>
        </w:rPr>
        <w:t xml:space="preserve"> freeze)</w:t>
      </w:r>
    </w:p>
    <w:p w14:paraId="5F84A0CA" w14:textId="77777777" w:rsidR="00C871C3" w:rsidRDefault="00C871C3" w:rsidP="00D80CC8">
      <w:pPr>
        <w:autoSpaceDE w:val="0"/>
        <w:autoSpaceDN w:val="0"/>
        <w:adjustRightInd w:val="0"/>
        <w:jc w:val="both"/>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Housing &amp; Planning Act 2016</w:t>
      </w:r>
    </w:p>
    <w:p w14:paraId="7E195F36" w14:textId="77777777" w:rsidR="00C871C3" w:rsidRDefault="00C871C3" w:rsidP="00D80CC8">
      <w:pPr>
        <w:autoSpaceDE w:val="0"/>
        <w:autoSpaceDN w:val="0"/>
        <w:adjustRightInd w:val="0"/>
        <w:jc w:val="both"/>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Grenfell Tower fire June 2017</w:t>
      </w:r>
    </w:p>
    <w:p w14:paraId="2E66A828" w14:textId="77777777" w:rsidR="00C871C3" w:rsidRDefault="00C871C3" w:rsidP="00D80CC8">
      <w:pPr>
        <w:autoSpaceDE w:val="0"/>
        <w:autoSpaceDN w:val="0"/>
        <w:adjustRightInd w:val="0"/>
        <w:jc w:val="both"/>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Homelessness Reduction Act 2017</w:t>
      </w:r>
    </w:p>
    <w:p w14:paraId="334DE504" w14:textId="77777777" w:rsidR="00C871C3" w:rsidRDefault="00C871C3" w:rsidP="00D80CC8">
      <w:pPr>
        <w:autoSpaceDE w:val="0"/>
        <w:autoSpaceDN w:val="0"/>
        <w:adjustRightInd w:val="0"/>
        <w:jc w:val="both"/>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Social Housing Green Paper 2018</w:t>
      </w:r>
    </w:p>
    <w:p w14:paraId="4E57A62A" w14:textId="77777777" w:rsidR="00C871C3" w:rsidRDefault="00C871C3" w:rsidP="00D80CC8">
      <w:pPr>
        <w:autoSpaceDE w:val="0"/>
        <w:autoSpaceDN w:val="0"/>
        <w:adjustRightInd w:val="0"/>
        <w:jc w:val="both"/>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National Rough Sleeping Strategy 2018</w:t>
      </w:r>
    </w:p>
    <w:p w14:paraId="138E7FB0" w14:textId="77777777" w:rsidR="00C871C3" w:rsidRDefault="00C871C3" w:rsidP="00D80CC8">
      <w:pPr>
        <w:autoSpaceDE w:val="0"/>
        <w:autoSpaceDN w:val="0"/>
        <w:adjustRightInd w:val="0"/>
        <w:jc w:val="both"/>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Lifting of HRA borrowing cap</w:t>
      </w:r>
    </w:p>
    <w:p w14:paraId="5CC54207" w14:textId="77777777" w:rsidR="00C871C3" w:rsidRDefault="00C871C3" w:rsidP="00D80CC8">
      <w:pPr>
        <w:autoSpaceDE w:val="0"/>
        <w:autoSpaceDN w:val="0"/>
        <w:adjustRightInd w:val="0"/>
        <w:jc w:val="both"/>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Risks associated with Brexit</w:t>
      </w:r>
    </w:p>
    <w:p w14:paraId="1682DE23" w14:textId="77777777" w:rsidR="00C871C3" w:rsidRDefault="00C871C3" w:rsidP="00D80CC8">
      <w:pPr>
        <w:autoSpaceDE w:val="0"/>
        <w:autoSpaceDN w:val="0"/>
        <w:adjustRightInd w:val="0"/>
        <w:jc w:val="both"/>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National Planning Policy Framework (2019)</w:t>
      </w:r>
    </w:p>
    <w:p w14:paraId="3590A527" w14:textId="77777777" w:rsidR="00C871C3" w:rsidRDefault="00C871C3" w:rsidP="00D80CC8">
      <w:pPr>
        <w:autoSpaceDE w:val="0"/>
        <w:autoSpaceDN w:val="0"/>
        <w:adjustRightInd w:val="0"/>
        <w:jc w:val="both"/>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draft New London Plan (2019)</w:t>
      </w:r>
    </w:p>
    <w:p w14:paraId="091CAB1A" w14:textId="77777777" w:rsidR="00C871C3" w:rsidRDefault="00C871C3" w:rsidP="00D80CC8">
      <w:pPr>
        <w:autoSpaceDE w:val="0"/>
        <w:autoSpaceDN w:val="0"/>
        <w:adjustRightInd w:val="0"/>
        <w:jc w:val="both"/>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London Housing Strategy.</w:t>
      </w:r>
    </w:p>
    <w:p w14:paraId="6A8F38F1" w14:textId="77777777" w:rsidR="00107EB9" w:rsidRDefault="00107EB9" w:rsidP="00D80CC8">
      <w:pPr>
        <w:autoSpaceDE w:val="0"/>
        <w:autoSpaceDN w:val="0"/>
        <w:adjustRightInd w:val="0"/>
        <w:jc w:val="both"/>
        <w:rPr>
          <w:rFonts w:cs="Arial"/>
          <w:szCs w:val="24"/>
          <w:lang w:eastAsia="en-GB"/>
        </w:rPr>
      </w:pPr>
    </w:p>
    <w:p w14:paraId="2BDCC76F" w14:textId="4929FB01" w:rsidR="00C871C3" w:rsidRDefault="00C871C3" w:rsidP="00D80CC8">
      <w:pPr>
        <w:autoSpaceDE w:val="0"/>
        <w:autoSpaceDN w:val="0"/>
        <w:adjustRightInd w:val="0"/>
        <w:jc w:val="both"/>
        <w:rPr>
          <w:rFonts w:cs="Arial"/>
          <w:szCs w:val="24"/>
          <w:lang w:eastAsia="en-GB"/>
        </w:rPr>
      </w:pPr>
      <w:r>
        <w:rPr>
          <w:rFonts w:cs="Arial"/>
          <w:szCs w:val="24"/>
          <w:lang w:eastAsia="en-GB"/>
        </w:rPr>
        <w:t>At a regional level the drivers have changed and include the London Housing</w:t>
      </w:r>
    </w:p>
    <w:p w14:paraId="4FDBAFA3" w14:textId="77777777" w:rsidR="00C871C3" w:rsidRDefault="00C871C3" w:rsidP="00D80CC8">
      <w:pPr>
        <w:autoSpaceDE w:val="0"/>
        <w:autoSpaceDN w:val="0"/>
        <w:adjustRightInd w:val="0"/>
        <w:jc w:val="both"/>
        <w:rPr>
          <w:rFonts w:cs="Arial"/>
          <w:szCs w:val="24"/>
          <w:lang w:eastAsia="en-GB"/>
        </w:rPr>
      </w:pPr>
      <w:r>
        <w:rPr>
          <w:rFonts w:cs="Arial"/>
          <w:szCs w:val="24"/>
          <w:lang w:eastAsia="en-GB"/>
        </w:rPr>
        <w:t>Strategy and the London Plan. Sub-regionally a new West London (including</w:t>
      </w:r>
    </w:p>
    <w:p w14:paraId="7E7B1390" w14:textId="34B73D77" w:rsidR="00C871C3" w:rsidRDefault="00C871C3" w:rsidP="00D80CC8">
      <w:pPr>
        <w:jc w:val="both"/>
        <w:rPr>
          <w:rFonts w:cs="Arial"/>
          <w:szCs w:val="24"/>
          <w:lang w:eastAsia="en-GB"/>
        </w:rPr>
      </w:pPr>
      <w:r>
        <w:rPr>
          <w:rFonts w:cs="Arial"/>
          <w:szCs w:val="24"/>
          <w:lang w:eastAsia="en-GB"/>
        </w:rPr>
        <w:t>Harrow) Strategic Housing Market Assessment (SHMA) has been completed.</w:t>
      </w:r>
    </w:p>
    <w:p w14:paraId="74BDCD47" w14:textId="30790ED6" w:rsidR="00450FCF" w:rsidRDefault="00450FCF" w:rsidP="00D80CC8">
      <w:pPr>
        <w:jc w:val="both"/>
        <w:rPr>
          <w:rFonts w:cs="Arial"/>
          <w:szCs w:val="24"/>
          <w:lang w:eastAsia="en-GB"/>
        </w:rPr>
      </w:pPr>
    </w:p>
    <w:p w14:paraId="0932AF2C" w14:textId="4A32DA23" w:rsidR="00450FCF" w:rsidRDefault="00450FCF" w:rsidP="00D80CC8">
      <w:pPr>
        <w:autoSpaceDE w:val="0"/>
        <w:autoSpaceDN w:val="0"/>
        <w:adjustRightInd w:val="0"/>
        <w:jc w:val="both"/>
        <w:rPr>
          <w:rFonts w:cs="Arial"/>
          <w:szCs w:val="24"/>
          <w:lang w:eastAsia="en-GB"/>
        </w:rPr>
      </w:pPr>
      <w:r>
        <w:rPr>
          <w:rFonts w:cs="Arial"/>
          <w:szCs w:val="24"/>
          <w:lang w:eastAsia="en-GB"/>
        </w:rPr>
        <w:t xml:space="preserve">The strategies should also reflect local changes to the </w:t>
      </w:r>
      <w:r w:rsidR="002153B3">
        <w:rPr>
          <w:rFonts w:cs="Arial"/>
          <w:szCs w:val="24"/>
          <w:lang w:eastAsia="en-GB"/>
        </w:rPr>
        <w:t xml:space="preserve">Borough Plan (formerly known as the </w:t>
      </w:r>
      <w:r>
        <w:rPr>
          <w:rFonts w:cs="Arial"/>
          <w:szCs w:val="24"/>
          <w:lang w:eastAsia="en-GB"/>
        </w:rPr>
        <w:t>Harrow Ambition Plan</w:t>
      </w:r>
      <w:r w:rsidR="002153B3">
        <w:rPr>
          <w:rFonts w:cs="Arial"/>
          <w:szCs w:val="24"/>
          <w:lang w:eastAsia="en-GB"/>
        </w:rPr>
        <w:t>)</w:t>
      </w:r>
      <w:r>
        <w:rPr>
          <w:rFonts w:cs="Arial"/>
          <w:szCs w:val="24"/>
          <w:lang w:eastAsia="en-GB"/>
        </w:rPr>
        <w:t>,</w:t>
      </w:r>
      <w:r w:rsidR="002153B3">
        <w:rPr>
          <w:rFonts w:cs="Arial"/>
          <w:szCs w:val="24"/>
          <w:lang w:eastAsia="en-GB"/>
        </w:rPr>
        <w:t xml:space="preserve"> </w:t>
      </w:r>
      <w:r>
        <w:rPr>
          <w:rFonts w:cs="Arial"/>
          <w:szCs w:val="24"/>
          <w:lang w:eastAsia="en-GB"/>
        </w:rPr>
        <w:t>Housing Services’ Smarter Housing Plan, regeneration plans, Adult Social</w:t>
      </w:r>
      <w:r w:rsidR="00522FDA">
        <w:rPr>
          <w:rFonts w:cs="Arial"/>
          <w:szCs w:val="24"/>
          <w:lang w:eastAsia="en-GB"/>
        </w:rPr>
        <w:t xml:space="preserve"> </w:t>
      </w:r>
      <w:r>
        <w:rPr>
          <w:rFonts w:cs="Arial"/>
          <w:szCs w:val="24"/>
          <w:lang w:eastAsia="en-GB"/>
        </w:rPr>
        <w:t>Care pressures and challenges of income levels and affordability.</w:t>
      </w:r>
    </w:p>
    <w:p w14:paraId="1BE75C9D" w14:textId="77777777" w:rsidR="00522FDA" w:rsidRDefault="00522FDA" w:rsidP="00D80CC8">
      <w:pPr>
        <w:autoSpaceDE w:val="0"/>
        <w:autoSpaceDN w:val="0"/>
        <w:adjustRightInd w:val="0"/>
        <w:jc w:val="both"/>
        <w:rPr>
          <w:rFonts w:cs="Arial"/>
          <w:szCs w:val="24"/>
          <w:lang w:eastAsia="en-GB"/>
        </w:rPr>
      </w:pPr>
    </w:p>
    <w:p w14:paraId="7876D16B" w14:textId="77777777" w:rsidR="00450FCF" w:rsidRDefault="00450FCF" w:rsidP="00D80CC8">
      <w:pPr>
        <w:autoSpaceDE w:val="0"/>
        <w:autoSpaceDN w:val="0"/>
        <w:adjustRightInd w:val="0"/>
        <w:jc w:val="both"/>
        <w:rPr>
          <w:rFonts w:cs="Arial"/>
          <w:szCs w:val="24"/>
          <w:lang w:eastAsia="en-GB"/>
        </w:rPr>
      </w:pPr>
      <w:r>
        <w:rPr>
          <w:rFonts w:cs="Arial"/>
          <w:szCs w:val="24"/>
          <w:lang w:eastAsia="en-GB"/>
        </w:rPr>
        <w:t>The Housing Evidence Base has been updated to reflect current data and</w:t>
      </w:r>
    </w:p>
    <w:p w14:paraId="33AF40A0" w14:textId="1E2FFCDC" w:rsidR="00450FCF" w:rsidRDefault="00450FCF" w:rsidP="00D80CC8">
      <w:pPr>
        <w:autoSpaceDE w:val="0"/>
        <w:autoSpaceDN w:val="0"/>
        <w:adjustRightInd w:val="0"/>
        <w:jc w:val="both"/>
        <w:rPr>
          <w:rFonts w:cs="Arial"/>
          <w:szCs w:val="24"/>
          <w:lang w:eastAsia="en-GB"/>
        </w:rPr>
      </w:pPr>
      <w:r>
        <w:rPr>
          <w:rFonts w:cs="Arial"/>
          <w:szCs w:val="24"/>
          <w:lang w:eastAsia="en-GB"/>
        </w:rPr>
        <w:t xml:space="preserve">trends in respect of affordability, population, </w:t>
      </w:r>
      <w:r w:rsidR="0072268E">
        <w:rPr>
          <w:rFonts w:cs="Arial"/>
          <w:szCs w:val="24"/>
          <w:lang w:eastAsia="en-GB"/>
        </w:rPr>
        <w:t>homelessness,</w:t>
      </w:r>
      <w:r>
        <w:rPr>
          <w:rFonts w:cs="Arial"/>
          <w:szCs w:val="24"/>
          <w:lang w:eastAsia="en-GB"/>
        </w:rPr>
        <w:t xml:space="preserve"> and housing need,</w:t>
      </w:r>
      <w:r w:rsidR="0072268E">
        <w:rPr>
          <w:rFonts w:cs="Arial"/>
          <w:szCs w:val="24"/>
          <w:lang w:eastAsia="en-GB"/>
        </w:rPr>
        <w:t xml:space="preserve"> </w:t>
      </w:r>
      <w:r>
        <w:rPr>
          <w:rFonts w:cs="Arial"/>
          <w:szCs w:val="24"/>
          <w:lang w:eastAsia="en-GB"/>
        </w:rPr>
        <w:t>social housing, supported housing and new supply. The Housing Evidence</w:t>
      </w:r>
      <w:r w:rsidR="0072268E">
        <w:rPr>
          <w:rFonts w:cs="Arial"/>
          <w:szCs w:val="24"/>
          <w:lang w:eastAsia="en-GB"/>
        </w:rPr>
        <w:t xml:space="preserve"> </w:t>
      </w:r>
      <w:r>
        <w:rPr>
          <w:rFonts w:cs="Arial"/>
          <w:szCs w:val="24"/>
          <w:lang w:eastAsia="en-GB"/>
        </w:rPr>
        <w:t xml:space="preserve">Base is </w:t>
      </w:r>
      <w:r w:rsidR="00D66027">
        <w:rPr>
          <w:rFonts w:cs="Arial"/>
          <w:szCs w:val="24"/>
          <w:lang w:eastAsia="en-GB"/>
        </w:rPr>
        <w:t>provided as a background paper</w:t>
      </w:r>
      <w:r>
        <w:rPr>
          <w:rFonts w:cs="Arial"/>
          <w:szCs w:val="24"/>
          <w:lang w:eastAsia="en-GB"/>
        </w:rPr>
        <w:t>.</w:t>
      </w:r>
    </w:p>
    <w:p w14:paraId="36B49C04" w14:textId="77777777" w:rsidR="00522FDA" w:rsidRDefault="00522FDA" w:rsidP="00D80CC8">
      <w:pPr>
        <w:autoSpaceDE w:val="0"/>
        <w:autoSpaceDN w:val="0"/>
        <w:adjustRightInd w:val="0"/>
        <w:jc w:val="both"/>
        <w:rPr>
          <w:rFonts w:cs="Arial"/>
          <w:szCs w:val="24"/>
          <w:lang w:eastAsia="en-GB"/>
        </w:rPr>
      </w:pPr>
    </w:p>
    <w:p w14:paraId="654F1053" w14:textId="15D8BC18" w:rsidR="00450FCF" w:rsidRDefault="00450FCF" w:rsidP="00D80CC8">
      <w:pPr>
        <w:autoSpaceDE w:val="0"/>
        <w:autoSpaceDN w:val="0"/>
        <w:adjustRightInd w:val="0"/>
        <w:jc w:val="both"/>
        <w:rPr>
          <w:rFonts w:cs="Arial"/>
          <w:szCs w:val="24"/>
          <w:lang w:eastAsia="en-GB"/>
        </w:rPr>
      </w:pPr>
      <w:r>
        <w:rPr>
          <w:rFonts w:cs="Arial"/>
          <w:szCs w:val="24"/>
          <w:lang w:eastAsia="en-GB"/>
        </w:rPr>
        <w:t>The proposed changes to the strategies are intended to make the strategies</w:t>
      </w:r>
    </w:p>
    <w:p w14:paraId="5BFDDFE5" w14:textId="656D18CF" w:rsidR="005552B6" w:rsidRDefault="00450FCF" w:rsidP="00D80CC8">
      <w:pPr>
        <w:jc w:val="both"/>
        <w:rPr>
          <w:rFonts w:cs="Arial"/>
          <w:szCs w:val="24"/>
          <w:lang w:eastAsia="en-GB"/>
        </w:rPr>
      </w:pPr>
      <w:r>
        <w:rPr>
          <w:rFonts w:cs="Arial"/>
          <w:szCs w:val="24"/>
          <w:lang w:eastAsia="en-GB"/>
        </w:rPr>
        <w:t xml:space="preserve">more relevant, </w:t>
      </w:r>
      <w:r w:rsidR="0072268E">
        <w:rPr>
          <w:rFonts w:cs="Arial"/>
          <w:szCs w:val="24"/>
          <w:lang w:eastAsia="en-GB"/>
        </w:rPr>
        <w:t>compliant,</w:t>
      </w:r>
      <w:r>
        <w:rPr>
          <w:rFonts w:cs="Arial"/>
          <w:szCs w:val="24"/>
          <w:lang w:eastAsia="en-GB"/>
        </w:rPr>
        <w:t xml:space="preserve"> and clearer to all stakeholders.</w:t>
      </w:r>
    </w:p>
    <w:p w14:paraId="51AF5376" w14:textId="4E21C450" w:rsidR="00707C99" w:rsidRDefault="00707C99" w:rsidP="00D80CC8">
      <w:pPr>
        <w:jc w:val="both"/>
        <w:rPr>
          <w:rFonts w:cs="Arial"/>
          <w:szCs w:val="24"/>
          <w:lang w:eastAsia="en-GB"/>
        </w:rPr>
      </w:pPr>
    </w:p>
    <w:p w14:paraId="007500DE" w14:textId="0A24E51D" w:rsidR="00707C99" w:rsidRPr="00315EC8" w:rsidRDefault="00C64136" w:rsidP="00D80CC8">
      <w:pPr>
        <w:jc w:val="both"/>
        <w:rPr>
          <w:rFonts w:cs="Arial"/>
          <w:b/>
          <w:bCs/>
          <w:szCs w:val="24"/>
          <w:lang w:eastAsia="en-GB"/>
        </w:rPr>
      </w:pPr>
      <w:r w:rsidRPr="009B108A">
        <w:rPr>
          <w:rFonts w:cs="Arial"/>
          <w:b/>
          <w:bCs/>
          <w:szCs w:val="24"/>
          <w:lang w:eastAsia="en-GB"/>
        </w:rPr>
        <w:t>4.2</w:t>
      </w:r>
      <w:r>
        <w:rPr>
          <w:rFonts w:cs="Arial"/>
          <w:szCs w:val="24"/>
          <w:lang w:eastAsia="en-GB"/>
        </w:rPr>
        <w:tab/>
      </w:r>
      <w:r w:rsidR="00707C99" w:rsidRPr="00315EC8">
        <w:rPr>
          <w:rFonts w:cs="Arial"/>
          <w:b/>
          <w:bCs/>
          <w:szCs w:val="24"/>
          <w:lang w:eastAsia="en-GB"/>
        </w:rPr>
        <w:t>Housing Allocation Scheme</w:t>
      </w:r>
    </w:p>
    <w:p w14:paraId="6993440A" w14:textId="3636FDBD" w:rsidR="00707C99" w:rsidRDefault="00707C99" w:rsidP="00D80CC8">
      <w:pPr>
        <w:jc w:val="both"/>
        <w:rPr>
          <w:rFonts w:cs="Arial"/>
          <w:szCs w:val="24"/>
          <w:lang w:eastAsia="en-GB"/>
        </w:rPr>
      </w:pPr>
    </w:p>
    <w:p w14:paraId="49403768" w14:textId="77777777" w:rsidR="00CE3F2A" w:rsidRDefault="00CE3F2A" w:rsidP="00D80CC8">
      <w:pPr>
        <w:jc w:val="both"/>
      </w:pPr>
      <w:r>
        <w:t>The Housing Allocation Scheme was last reviewed in 2015.</w:t>
      </w:r>
    </w:p>
    <w:p w14:paraId="4B925E80" w14:textId="77777777" w:rsidR="00CE3F2A" w:rsidRDefault="00CE3F2A" w:rsidP="00D80CC8">
      <w:pPr>
        <w:jc w:val="both"/>
        <w:rPr>
          <w:rFonts w:cs="Arial"/>
        </w:rPr>
      </w:pPr>
    </w:p>
    <w:p w14:paraId="4D52D1FF" w14:textId="357E97D0" w:rsidR="00E16062" w:rsidRPr="00074C02" w:rsidRDefault="00E16062" w:rsidP="00D80CC8">
      <w:pPr>
        <w:jc w:val="both"/>
        <w:rPr>
          <w:rFonts w:cs="Arial"/>
          <w:color w:val="FF0000"/>
        </w:rPr>
      </w:pPr>
      <w:r w:rsidRPr="0024531A">
        <w:rPr>
          <w:rFonts w:cs="Arial"/>
        </w:rPr>
        <w:t xml:space="preserve">Very few new lettings </w:t>
      </w:r>
      <w:r w:rsidR="00A91098">
        <w:rPr>
          <w:rFonts w:cs="Arial"/>
        </w:rPr>
        <w:t xml:space="preserve">are made </w:t>
      </w:r>
      <w:r w:rsidRPr="0024531A">
        <w:rPr>
          <w:rFonts w:cs="Arial"/>
        </w:rPr>
        <w:t>each year, so choice is very limited.</w:t>
      </w:r>
      <w:r w:rsidR="00074C02">
        <w:rPr>
          <w:rFonts w:cs="Arial"/>
        </w:rPr>
        <w:t xml:space="preserve"> </w:t>
      </w:r>
    </w:p>
    <w:p w14:paraId="0AF509C9" w14:textId="77777777" w:rsidR="00A91098" w:rsidRPr="0024531A" w:rsidRDefault="00A91098" w:rsidP="00D80CC8">
      <w:pPr>
        <w:jc w:val="both"/>
        <w:rPr>
          <w:rFonts w:cs="Arial"/>
        </w:rPr>
      </w:pPr>
    </w:p>
    <w:p w14:paraId="7D4EFD19" w14:textId="15127B31" w:rsidR="00E16062" w:rsidRPr="0024531A" w:rsidRDefault="00E16062" w:rsidP="00D80CC8">
      <w:pPr>
        <w:jc w:val="both"/>
        <w:rPr>
          <w:rFonts w:cs="Arial"/>
        </w:rPr>
      </w:pPr>
      <w:r w:rsidRPr="0024531A">
        <w:rPr>
          <w:rFonts w:cs="Arial"/>
        </w:rPr>
        <w:lastRenderedPageBreak/>
        <w:t xml:space="preserve">All applicants with a housing need (band A+ to C-) can bid, which encourages the idea that if they wait long enough and bid </w:t>
      </w:r>
      <w:r w:rsidR="0072268E" w:rsidRPr="0024531A">
        <w:rPr>
          <w:rFonts w:cs="Arial"/>
        </w:rPr>
        <w:t>regularly,</w:t>
      </w:r>
      <w:r w:rsidRPr="0024531A">
        <w:rPr>
          <w:rFonts w:cs="Arial"/>
        </w:rPr>
        <w:t xml:space="preserve"> they will get social housing. </w:t>
      </w:r>
    </w:p>
    <w:p w14:paraId="21FBD0F3" w14:textId="77777777" w:rsidR="00A91098" w:rsidRDefault="00A91098" w:rsidP="00D80CC8">
      <w:pPr>
        <w:jc w:val="both"/>
        <w:rPr>
          <w:rFonts w:cs="Arial"/>
        </w:rPr>
      </w:pPr>
    </w:p>
    <w:p w14:paraId="5A50A3A3" w14:textId="34865F1E" w:rsidR="00E16062" w:rsidRPr="0024531A" w:rsidRDefault="00E16062" w:rsidP="00D80CC8">
      <w:pPr>
        <w:jc w:val="both"/>
        <w:rPr>
          <w:rFonts w:cs="Arial"/>
        </w:rPr>
      </w:pPr>
      <w:r w:rsidRPr="0024531A">
        <w:rPr>
          <w:rFonts w:cs="Arial"/>
        </w:rPr>
        <w:t>Households with an urgent need to move do not necessarily place bids for the first suitable property advertised on Locata, or they refuse properties after viewing. They remain in unsatisfactory conditions for long periods of time, waiting for an ideal property.</w:t>
      </w:r>
    </w:p>
    <w:p w14:paraId="11360D04" w14:textId="77777777" w:rsidR="00A91098" w:rsidRDefault="00A91098" w:rsidP="00D80CC8">
      <w:pPr>
        <w:jc w:val="both"/>
        <w:rPr>
          <w:rFonts w:cs="Arial"/>
          <w:lang w:val="en-US"/>
        </w:rPr>
      </w:pPr>
    </w:p>
    <w:p w14:paraId="11D2CDD8" w14:textId="043DF6A3" w:rsidR="00E16062" w:rsidRPr="009837FF" w:rsidRDefault="00E16062" w:rsidP="00D80CC8">
      <w:pPr>
        <w:jc w:val="both"/>
        <w:rPr>
          <w:rFonts w:cs="Arial"/>
        </w:rPr>
      </w:pPr>
      <w:r w:rsidRPr="0024531A">
        <w:rPr>
          <w:rFonts w:cs="Arial"/>
          <w:lang w:val="en-US"/>
        </w:rPr>
        <w:t xml:space="preserve">Some applicants do not attend viewings, despite having bid on a property, been </w:t>
      </w:r>
      <w:r w:rsidR="0072268E" w:rsidRPr="0024531A">
        <w:rPr>
          <w:rFonts w:cs="Arial"/>
          <w:lang w:val="en-US"/>
        </w:rPr>
        <w:t>shortlisted,</w:t>
      </w:r>
      <w:r w:rsidRPr="0024531A">
        <w:rPr>
          <w:rFonts w:cs="Arial"/>
          <w:lang w:val="en-US"/>
        </w:rPr>
        <w:t xml:space="preserve"> and been invited to view.</w:t>
      </w:r>
      <w:r w:rsidR="00A91098">
        <w:rPr>
          <w:rFonts w:cs="Arial"/>
        </w:rPr>
        <w:t xml:space="preserve"> </w:t>
      </w:r>
      <w:r w:rsidRPr="009837FF">
        <w:rPr>
          <w:rFonts w:cs="Arial"/>
          <w:lang w:val="en-US"/>
        </w:rPr>
        <w:t xml:space="preserve">Reasons for refusals include size, location, no </w:t>
      </w:r>
      <w:r w:rsidR="0072268E" w:rsidRPr="009837FF">
        <w:rPr>
          <w:rFonts w:cs="Arial"/>
          <w:lang w:val="en-US"/>
        </w:rPr>
        <w:t>parking,</w:t>
      </w:r>
      <w:r w:rsidRPr="009837FF">
        <w:rPr>
          <w:rFonts w:cs="Arial"/>
          <w:lang w:val="en-US"/>
        </w:rPr>
        <w:t xml:space="preserve"> and no lift. For Housing Association </w:t>
      </w:r>
      <w:r w:rsidR="00AE05B6">
        <w:rPr>
          <w:rFonts w:cs="Arial"/>
          <w:lang w:val="en-US"/>
        </w:rPr>
        <w:t>(</w:t>
      </w:r>
      <w:r w:rsidR="00C55567">
        <w:rPr>
          <w:rFonts w:cs="Arial"/>
          <w:lang w:val="en-US"/>
        </w:rPr>
        <w:t xml:space="preserve">now </w:t>
      </w:r>
      <w:r w:rsidR="00C36401">
        <w:rPr>
          <w:rFonts w:cs="Arial"/>
          <w:lang w:val="en-US"/>
        </w:rPr>
        <w:t>known as Registered Provider</w:t>
      </w:r>
      <w:r w:rsidR="00CC2643">
        <w:rPr>
          <w:rFonts w:cs="Arial"/>
          <w:lang w:val="en-US"/>
        </w:rPr>
        <w:t>)</w:t>
      </w:r>
      <w:r w:rsidR="00C36401">
        <w:rPr>
          <w:rFonts w:cs="Arial"/>
          <w:lang w:val="en-US"/>
        </w:rPr>
        <w:t xml:space="preserve"> properties,</w:t>
      </w:r>
      <w:r w:rsidRPr="009837FF">
        <w:rPr>
          <w:rFonts w:cs="Arial"/>
          <w:lang w:val="en-US"/>
        </w:rPr>
        <w:t xml:space="preserve"> these also include the rent being higher than Council rents and no Right to Buy.</w:t>
      </w:r>
    </w:p>
    <w:p w14:paraId="03507E60" w14:textId="77777777" w:rsidR="00A91098" w:rsidRDefault="00A91098" w:rsidP="00D80CC8">
      <w:pPr>
        <w:jc w:val="both"/>
        <w:rPr>
          <w:rFonts w:cs="Arial"/>
          <w:lang w:val="en-US"/>
        </w:rPr>
      </w:pPr>
    </w:p>
    <w:p w14:paraId="5F2F8A58" w14:textId="7789FA33" w:rsidR="00E16062" w:rsidRPr="009837FF" w:rsidRDefault="00E16062" w:rsidP="00D80CC8">
      <w:pPr>
        <w:jc w:val="both"/>
        <w:rPr>
          <w:rFonts w:cs="Arial"/>
        </w:rPr>
      </w:pPr>
      <w:r w:rsidRPr="009837FF">
        <w:rPr>
          <w:rFonts w:cs="Arial"/>
          <w:lang w:val="en-US"/>
        </w:rPr>
        <w:t>Refusals have a negative impact on void times and rent loss for the Council and RPs.</w:t>
      </w:r>
    </w:p>
    <w:p w14:paraId="043FE56C" w14:textId="77777777" w:rsidR="00A91098" w:rsidRDefault="00A91098" w:rsidP="00D80CC8">
      <w:pPr>
        <w:jc w:val="both"/>
        <w:rPr>
          <w:rFonts w:cs="Arial"/>
          <w:lang w:val="en-US"/>
        </w:rPr>
      </w:pPr>
    </w:p>
    <w:p w14:paraId="3DDB389F" w14:textId="60250CD0" w:rsidR="00E16062" w:rsidRPr="009837FF" w:rsidRDefault="00E16062" w:rsidP="00D80CC8">
      <w:pPr>
        <w:jc w:val="both"/>
        <w:rPr>
          <w:rFonts w:cs="Arial"/>
        </w:rPr>
      </w:pPr>
      <w:r w:rsidRPr="009837FF">
        <w:rPr>
          <w:rFonts w:cs="Arial"/>
          <w:lang w:val="en-US"/>
        </w:rPr>
        <w:t>Some low</w:t>
      </w:r>
      <w:r w:rsidR="00AF4A50">
        <w:rPr>
          <w:rFonts w:cs="Arial"/>
          <w:lang w:val="en-US"/>
        </w:rPr>
        <w:t>er</w:t>
      </w:r>
      <w:r w:rsidRPr="009837FF">
        <w:rPr>
          <w:rFonts w:cs="Arial"/>
          <w:lang w:val="en-US"/>
        </w:rPr>
        <w:t xml:space="preserve"> banded households are offered social housing which </w:t>
      </w:r>
      <w:r w:rsidR="00AF4A50">
        <w:rPr>
          <w:rFonts w:cs="Arial"/>
          <w:lang w:val="en-US"/>
        </w:rPr>
        <w:t>c</w:t>
      </w:r>
      <w:r w:rsidR="00AF4A50" w:rsidRPr="009837FF">
        <w:rPr>
          <w:rFonts w:cs="Arial"/>
          <w:lang w:val="en-US"/>
        </w:rPr>
        <w:t xml:space="preserve">ould </w:t>
      </w:r>
      <w:r w:rsidRPr="009837FF">
        <w:rPr>
          <w:rFonts w:cs="Arial"/>
          <w:lang w:val="en-US"/>
        </w:rPr>
        <w:t xml:space="preserve">have gone to households with </w:t>
      </w:r>
      <w:r w:rsidR="00B1153E">
        <w:rPr>
          <w:rFonts w:cs="Arial"/>
          <w:lang w:val="en-US"/>
        </w:rPr>
        <w:t xml:space="preserve">more </w:t>
      </w:r>
      <w:r w:rsidRPr="009837FF">
        <w:rPr>
          <w:rFonts w:cs="Arial"/>
          <w:lang w:val="en-US"/>
        </w:rPr>
        <w:t>urgent housing needs,</w:t>
      </w:r>
      <w:r w:rsidR="00B1153E">
        <w:rPr>
          <w:rFonts w:cs="Arial"/>
          <w:lang w:val="en-US"/>
        </w:rPr>
        <w:t xml:space="preserve"> such as where a lower banded applicant successfully bids for a property that higher banded applicants have not bid for or have refused. This </w:t>
      </w:r>
      <w:r w:rsidRPr="009837FF">
        <w:rPr>
          <w:rFonts w:cs="Arial"/>
          <w:lang w:val="en-US"/>
        </w:rPr>
        <w:t>undermines the message that applicants face a long wait for social housing, raises expectations and discourages applicants from exploring other housing options.</w:t>
      </w:r>
    </w:p>
    <w:p w14:paraId="0481AAB5" w14:textId="77777777" w:rsidR="003E6F6B" w:rsidRDefault="003E6F6B" w:rsidP="00D80CC8">
      <w:pPr>
        <w:jc w:val="both"/>
        <w:rPr>
          <w:rFonts w:cs="Arial"/>
        </w:rPr>
      </w:pPr>
    </w:p>
    <w:p w14:paraId="1E17FFC2" w14:textId="40F8C9F1" w:rsidR="00E16062" w:rsidRPr="009837FF" w:rsidRDefault="003E6F6B" w:rsidP="00D80CC8">
      <w:pPr>
        <w:jc w:val="both"/>
        <w:rPr>
          <w:rFonts w:cs="Arial"/>
        </w:rPr>
      </w:pPr>
      <w:r>
        <w:rPr>
          <w:rFonts w:cs="Arial"/>
        </w:rPr>
        <w:t xml:space="preserve">It is important to </w:t>
      </w:r>
      <w:r w:rsidR="00E16062" w:rsidRPr="009837FF">
        <w:rPr>
          <w:rFonts w:cs="Arial"/>
        </w:rPr>
        <w:t>be clear so that all households can make realistic decisions about their housing options.</w:t>
      </w:r>
    </w:p>
    <w:p w14:paraId="76B11665" w14:textId="02B51FA0" w:rsidR="00707C99" w:rsidRDefault="00707C99" w:rsidP="00D80CC8">
      <w:pPr>
        <w:jc w:val="both"/>
        <w:rPr>
          <w:rFonts w:cs="Arial"/>
          <w:szCs w:val="24"/>
          <w:lang w:eastAsia="en-GB"/>
        </w:rPr>
      </w:pPr>
    </w:p>
    <w:p w14:paraId="0104CE6A" w14:textId="4C3DECE9" w:rsidR="0080600D" w:rsidRDefault="0080600D" w:rsidP="00D80CC8">
      <w:pPr>
        <w:jc w:val="both"/>
      </w:pPr>
      <w:r>
        <w:t xml:space="preserve">The Council should keep the Housing Allocation Scheme under </w:t>
      </w:r>
      <w:r w:rsidR="00CC2643">
        <w:t xml:space="preserve">regular </w:t>
      </w:r>
      <w:r>
        <w:t>review</w:t>
      </w:r>
      <w:r w:rsidR="00CC2643">
        <w:t xml:space="preserve"> generally</w:t>
      </w:r>
      <w:r>
        <w:t>. It is best practice to review Housing Allocation Schemes every few years to ensure compliance with the law and effectiveness in meeting local housing need.</w:t>
      </w:r>
    </w:p>
    <w:p w14:paraId="5627F4F1" w14:textId="77777777" w:rsidR="00AF1097" w:rsidRDefault="00AF1097" w:rsidP="00D80CC8">
      <w:pPr>
        <w:jc w:val="both"/>
        <w:rPr>
          <w:rFonts w:cs="Arial"/>
          <w:szCs w:val="24"/>
          <w:lang w:eastAsia="en-GB"/>
        </w:rPr>
      </w:pPr>
    </w:p>
    <w:p w14:paraId="6C1D3895" w14:textId="098CA81A" w:rsidR="00707C99" w:rsidRDefault="00C64136" w:rsidP="00D80CC8">
      <w:pPr>
        <w:jc w:val="both"/>
        <w:rPr>
          <w:rFonts w:cs="Arial"/>
          <w:szCs w:val="24"/>
          <w:lang w:eastAsia="en-GB"/>
        </w:rPr>
      </w:pPr>
      <w:r w:rsidRPr="009B108A">
        <w:rPr>
          <w:rFonts w:cs="Arial"/>
          <w:b/>
          <w:bCs/>
          <w:szCs w:val="24"/>
          <w:lang w:eastAsia="en-GB"/>
        </w:rPr>
        <w:t>4.3</w:t>
      </w:r>
      <w:r>
        <w:rPr>
          <w:rFonts w:cs="Arial"/>
          <w:szCs w:val="24"/>
          <w:lang w:eastAsia="en-GB"/>
        </w:rPr>
        <w:tab/>
      </w:r>
      <w:r w:rsidR="00707C99" w:rsidRPr="00315EC8">
        <w:rPr>
          <w:rFonts w:cs="Arial"/>
          <w:b/>
          <w:bCs/>
          <w:szCs w:val="24"/>
          <w:lang w:eastAsia="en-GB"/>
        </w:rPr>
        <w:t>Tenancy Strategy and Tenancy Policy</w:t>
      </w:r>
    </w:p>
    <w:p w14:paraId="7B20D923" w14:textId="77777777" w:rsidR="00707C99" w:rsidRDefault="00707C99" w:rsidP="00D80CC8">
      <w:pPr>
        <w:jc w:val="both"/>
        <w:rPr>
          <w:rFonts w:cs="Arial"/>
          <w:szCs w:val="24"/>
          <w:lang w:eastAsia="en-GB"/>
        </w:rPr>
      </w:pPr>
    </w:p>
    <w:p w14:paraId="36BEB1D9" w14:textId="541CA3A4" w:rsidR="00726611" w:rsidRPr="00023497" w:rsidRDefault="00726611" w:rsidP="00D80CC8">
      <w:pPr>
        <w:jc w:val="both"/>
        <w:rPr>
          <w:rFonts w:cs="Arial"/>
        </w:rPr>
      </w:pPr>
      <w:r w:rsidRPr="00023497">
        <w:rPr>
          <w:rFonts w:cs="Arial"/>
        </w:rPr>
        <w:t>Some tenants are concerned about the lack of security if they only have a five year tenancy.</w:t>
      </w:r>
      <w:r w:rsidR="00FA533E">
        <w:rPr>
          <w:rFonts w:cs="Arial"/>
        </w:rPr>
        <w:t xml:space="preserve"> </w:t>
      </w:r>
      <w:r w:rsidRPr="00023497">
        <w:rPr>
          <w:rFonts w:cs="Arial"/>
        </w:rPr>
        <w:t xml:space="preserve">Some tenants may not feel invested in their </w:t>
      </w:r>
      <w:r w:rsidR="002D28CC">
        <w:rPr>
          <w:rFonts w:cs="Arial"/>
        </w:rPr>
        <w:t xml:space="preserve">neighbourhood or </w:t>
      </w:r>
      <w:r w:rsidRPr="00023497">
        <w:rPr>
          <w:rFonts w:cs="Arial"/>
        </w:rPr>
        <w:t xml:space="preserve">home, so may not </w:t>
      </w:r>
      <w:r w:rsidR="0072268E" w:rsidRPr="00023497">
        <w:rPr>
          <w:rFonts w:cs="Arial"/>
        </w:rPr>
        <w:t>decorate</w:t>
      </w:r>
      <w:r w:rsidRPr="00023497">
        <w:rPr>
          <w:rFonts w:cs="Arial"/>
        </w:rPr>
        <w:t xml:space="preserve"> or maintain their home. So far there is no evidence of releasing larger properties, which was a key aim</w:t>
      </w:r>
      <w:r w:rsidR="00190A96">
        <w:rPr>
          <w:rFonts w:cs="Arial"/>
        </w:rPr>
        <w:t xml:space="preserve"> of using the flexible tenancy regime</w:t>
      </w:r>
      <w:r w:rsidR="00CC2643">
        <w:rPr>
          <w:rFonts w:cs="Arial"/>
        </w:rPr>
        <w:t>, and therefore there are</w:t>
      </w:r>
      <w:r w:rsidR="0003441F">
        <w:rPr>
          <w:rFonts w:cs="Arial"/>
        </w:rPr>
        <w:t xml:space="preserve"> concerns that f</w:t>
      </w:r>
      <w:r w:rsidRPr="00023497">
        <w:rPr>
          <w:rFonts w:cs="Arial"/>
        </w:rPr>
        <w:t>lexible tenancies are inconsistent with tenancy sustainability.</w:t>
      </w:r>
    </w:p>
    <w:p w14:paraId="62118832" w14:textId="7581D3A2" w:rsidR="002F2C72" w:rsidRDefault="002F2C72" w:rsidP="00D80CC8">
      <w:pPr>
        <w:jc w:val="both"/>
        <w:rPr>
          <w:rFonts w:cs="Arial"/>
        </w:rPr>
      </w:pPr>
    </w:p>
    <w:p w14:paraId="18472485" w14:textId="1E40A72F" w:rsidR="00E33A92" w:rsidRPr="00A0349B" w:rsidRDefault="00726611" w:rsidP="00D80CC8">
      <w:pPr>
        <w:jc w:val="both"/>
        <w:rPr>
          <w:rFonts w:cs="Arial"/>
          <w:szCs w:val="24"/>
        </w:rPr>
      </w:pPr>
      <w:r w:rsidRPr="00A0349B">
        <w:rPr>
          <w:rFonts w:cs="Arial"/>
          <w:szCs w:val="24"/>
        </w:rPr>
        <w:t>T</w:t>
      </w:r>
      <w:r w:rsidR="00E33A92" w:rsidRPr="00A0349B">
        <w:rPr>
          <w:rFonts w:cs="Arial"/>
          <w:szCs w:val="24"/>
        </w:rPr>
        <w:t xml:space="preserve">here are </w:t>
      </w:r>
      <w:proofErr w:type="gramStart"/>
      <w:r w:rsidR="00E33A92" w:rsidRPr="00A0349B">
        <w:rPr>
          <w:rFonts w:cs="Arial"/>
          <w:szCs w:val="24"/>
        </w:rPr>
        <w:t>a number of</w:t>
      </w:r>
      <w:proofErr w:type="gramEnd"/>
      <w:r w:rsidR="00E33A92" w:rsidRPr="00A0349B">
        <w:rPr>
          <w:rFonts w:cs="Arial"/>
          <w:szCs w:val="24"/>
        </w:rPr>
        <w:t xml:space="preserve"> t</w:t>
      </w:r>
      <w:r w:rsidRPr="00A0349B">
        <w:rPr>
          <w:rFonts w:cs="Arial"/>
          <w:szCs w:val="24"/>
        </w:rPr>
        <w:t xml:space="preserve">enancy management </w:t>
      </w:r>
      <w:r w:rsidR="00E33A92" w:rsidRPr="00A0349B">
        <w:rPr>
          <w:rFonts w:cs="Arial"/>
          <w:szCs w:val="24"/>
        </w:rPr>
        <w:t xml:space="preserve">challenges when using flexible tenancies. </w:t>
      </w:r>
      <w:r w:rsidR="0046652C">
        <w:rPr>
          <w:rFonts w:cs="Arial"/>
          <w:szCs w:val="24"/>
        </w:rPr>
        <w:t>For example, i</w:t>
      </w:r>
      <w:r w:rsidR="00ED73D1">
        <w:rPr>
          <w:rFonts w:cs="Arial"/>
          <w:szCs w:val="24"/>
        </w:rPr>
        <w:t>f relevant dates are missed a flexible tenant becomes a se</w:t>
      </w:r>
      <w:r w:rsidR="005653AB" w:rsidRPr="00023497">
        <w:rPr>
          <w:rFonts w:cs="Arial"/>
        </w:rPr>
        <w:t>cure lifetime tenant.</w:t>
      </w:r>
      <w:r w:rsidR="005653AB">
        <w:rPr>
          <w:rFonts w:cs="Arial"/>
        </w:rPr>
        <w:t xml:space="preserve"> Another </w:t>
      </w:r>
      <w:r w:rsidR="00E33A92" w:rsidRPr="00A0349B">
        <w:rPr>
          <w:rFonts w:cs="Arial"/>
          <w:szCs w:val="24"/>
        </w:rPr>
        <w:t>challenge relate</w:t>
      </w:r>
      <w:r w:rsidR="00040003">
        <w:rPr>
          <w:rFonts w:cs="Arial"/>
          <w:szCs w:val="24"/>
        </w:rPr>
        <w:t>s</w:t>
      </w:r>
      <w:r w:rsidR="00E33A92" w:rsidRPr="00A0349B">
        <w:rPr>
          <w:rFonts w:cs="Arial"/>
          <w:szCs w:val="24"/>
        </w:rPr>
        <w:t xml:space="preserve"> to renewing flexible tenancies and rent arrears</w:t>
      </w:r>
      <w:r w:rsidR="0046652C">
        <w:rPr>
          <w:rFonts w:cs="Arial"/>
          <w:szCs w:val="24"/>
        </w:rPr>
        <w:t>, in that w</w:t>
      </w:r>
      <w:r w:rsidR="00E33A92" w:rsidRPr="00A0349B">
        <w:rPr>
          <w:rFonts w:cs="Arial"/>
          <w:szCs w:val="24"/>
        </w:rPr>
        <w:t xml:space="preserve">here a tenant </w:t>
      </w:r>
      <w:r w:rsidR="00C86F70">
        <w:rPr>
          <w:rFonts w:cs="Arial"/>
          <w:szCs w:val="24"/>
        </w:rPr>
        <w:t xml:space="preserve">with a flexible tenancy </w:t>
      </w:r>
      <w:r w:rsidR="00E33A92" w:rsidRPr="00A0349B">
        <w:rPr>
          <w:rFonts w:cs="Arial"/>
          <w:szCs w:val="24"/>
        </w:rPr>
        <w:t xml:space="preserve">has accrued rent arrears and the court has awarded the Council a </w:t>
      </w:r>
      <w:r w:rsidR="00B84878">
        <w:rPr>
          <w:rFonts w:cs="Arial"/>
          <w:szCs w:val="24"/>
        </w:rPr>
        <w:t>p</w:t>
      </w:r>
      <w:r w:rsidR="00B84878" w:rsidRPr="00A0349B">
        <w:rPr>
          <w:rFonts w:cs="Arial"/>
          <w:szCs w:val="24"/>
        </w:rPr>
        <w:t>ossession</w:t>
      </w:r>
      <w:r w:rsidR="00E33A92" w:rsidRPr="00A0349B">
        <w:rPr>
          <w:rFonts w:cs="Arial"/>
          <w:szCs w:val="24"/>
        </w:rPr>
        <w:t xml:space="preserve"> </w:t>
      </w:r>
      <w:r w:rsidR="00631AAE">
        <w:rPr>
          <w:rFonts w:cs="Arial"/>
          <w:szCs w:val="24"/>
        </w:rPr>
        <w:t>o</w:t>
      </w:r>
      <w:r w:rsidR="00E33A92" w:rsidRPr="00A0349B">
        <w:rPr>
          <w:rFonts w:cs="Arial"/>
          <w:szCs w:val="24"/>
        </w:rPr>
        <w:t>rder</w:t>
      </w:r>
      <w:r w:rsidR="00631AAE">
        <w:rPr>
          <w:rFonts w:cs="Arial"/>
          <w:szCs w:val="24"/>
        </w:rPr>
        <w:t xml:space="preserve"> </w:t>
      </w:r>
      <w:r w:rsidR="004E2350">
        <w:rPr>
          <w:rFonts w:cs="Arial"/>
          <w:szCs w:val="24"/>
        </w:rPr>
        <w:t xml:space="preserve">suspended on terms </w:t>
      </w:r>
      <w:r w:rsidR="00631AAE">
        <w:rPr>
          <w:rFonts w:cs="Arial"/>
          <w:szCs w:val="24"/>
        </w:rPr>
        <w:t>(SPO)</w:t>
      </w:r>
      <w:r w:rsidR="00E33A92" w:rsidRPr="00A0349B">
        <w:rPr>
          <w:rFonts w:cs="Arial"/>
          <w:szCs w:val="24"/>
        </w:rPr>
        <w:t xml:space="preserve">, it would </w:t>
      </w:r>
      <w:r w:rsidR="008110AB">
        <w:rPr>
          <w:rFonts w:cs="Arial"/>
          <w:szCs w:val="24"/>
        </w:rPr>
        <w:t xml:space="preserve">normally </w:t>
      </w:r>
      <w:r w:rsidR="00E33A92" w:rsidRPr="00A0349B">
        <w:rPr>
          <w:rFonts w:cs="Arial"/>
          <w:szCs w:val="24"/>
        </w:rPr>
        <w:t xml:space="preserve">be </w:t>
      </w:r>
      <w:r w:rsidR="008110AB">
        <w:rPr>
          <w:rFonts w:cs="Arial"/>
          <w:szCs w:val="24"/>
        </w:rPr>
        <w:t xml:space="preserve">considered </w:t>
      </w:r>
      <w:r w:rsidR="00E33A92" w:rsidRPr="00A0349B">
        <w:rPr>
          <w:rFonts w:cs="Arial"/>
          <w:szCs w:val="24"/>
        </w:rPr>
        <w:t xml:space="preserve">reasonable to renew the flexible tenancy </w:t>
      </w:r>
      <w:r w:rsidR="008110AB">
        <w:rPr>
          <w:rFonts w:cs="Arial"/>
          <w:szCs w:val="24"/>
        </w:rPr>
        <w:t xml:space="preserve">if </w:t>
      </w:r>
      <w:r w:rsidR="00E33A92" w:rsidRPr="00A0349B">
        <w:rPr>
          <w:rFonts w:cs="Arial"/>
          <w:szCs w:val="24"/>
        </w:rPr>
        <w:t xml:space="preserve"> the tenant has complied with the</w:t>
      </w:r>
      <w:r w:rsidR="00473CED">
        <w:rPr>
          <w:rFonts w:cs="Arial"/>
          <w:szCs w:val="24"/>
        </w:rPr>
        <w:t xml:space="preserve"> terms of the SPO</w:t>
      </w:r>
      <w:r w:rsidR="00E33A92" w:rsidRPr="00A0349B">
        <w:rPr>
          <w:rFonts w:cs="Arial"/>
          <w:szCs w:val="24"/>
        </w:rPr>
        <w:t xml:space="preserve">. However, if the arrears have not been cleared </w:t>
      </w:r>
      <w:r w:rsidR="00473CED">
        <w:rPr>
          <w:rFonts w:cs="Arial"/>
          <w:szCs w:val="24"/>
        </w:rPr>
        <w:t>by</w:t>
      </w:r>
      <w:r w:rsidR="00E33A92" w:rsidRPr="00A0349B">
        <w:rPr>
          <w:rFonts w:cs="Arial"/>
          <w:szCs w:val="24"/>
        </w:rPr>
        <w:t xml:space="preserve"> the end of the flexible tenancy, any court order is negated by the signing of a new tenancy and the rent arrears become former tenant arrears. The Council’s </w:t>
      </w:r>
      <w:r w:rsidR="00E33A92" w:rsidRPr="00A0349B">
        <w:rPr>
          <w:rFonts w:cs="Arial"/>
          <w:szCs w:val="24"/>
        </w:rPr>
        <w:lastRenderedPageBreak/>
        <w:t xml:space="preserve">tenancy conditions allow these arrears to be added to the tenant’s </w:t>
      </w:r>
      <w:r w:rsidR="00447E45">
        <w:rPr>
          <w:rFonts w:cs="Arial"/>
          <w:szCs w:val="24"/>
        </w:rPr>
        <w:t xml:space="preserve">new </w:t>
      </w:r>
      <w:r w:rsidR="00E33A92" w:rsidRPr="00A0349B">
        <w:rPr>
          <w:rFonts w:cs="Arial"/>
          <w:szCs w:val="24"/>
        </w:rPr>
        <w:t xml:space="preserve">rent account, but </w:t>
      </w:r>
      <w:r w:rsidR="002B4E04">
        <w:rPr>
          <w:rFonts w:cs="Arial"/>
          <w:szCs w:val="24"/>
        </w:rPr>
        <w:t xml:space="preserve">once a new flexible tenancy is granted </w:t>
      </w:r>
      <w:r w:rsidR="00E33A92" w:rsidRPr="00A0349B">
        <w:rPr>
          <w:rFonts w:cs="Arial"/>
          <w:szCs w:val="24"/>
        </w:rPr>
        <w:t xml:space="preserve">the </w:t>
      </w:r>
      <w:r w:rsidR="004A1218">
        <w:rPr>
          <w:rFonts w:cs="Arial"/>
          <w:szCs w:val="24"/>
        </w:rPr>
        <w:t xml:space="preserve">Council cannot rely on the SPO </w:t>
      </w:r>
      <w:r w:rsidR="00E33A92" w:rsidRPr="00A0349B">
        <w:rPr>
          <w:rFonts w:cs="Arial"/>
          <w:szCs w:val="24"/>
        </w:rPr>
        <w:t>to enforce payment. This matter is pertinent where a tenant is in receipt of state benefits as there are limits set by the Department for Work &amp; Pensions on the amount that can be deducted from benefits to be paid towards rent arrears</w:t>
      </w:r>
      <w:r w:rsidR="00210974">
        <w:rPr>
          <w:rFonts w:cs="Arial"/>
          <w:szCs w:val="24"/>
        </w:rPr>
        <w:t xml:space="preserve">. When granting a SPO the </w:t>
      </w:r>
      <w:r w:rsidR="00E33A92" w:rsidRPr="00A0349B">
        <w:rPr>
          <w:rFonts w:cs="Arial"/>
          <w:szCs w:val="24"/>
        </w:rPr>
        <w:t xml:space="preserve">courts </w:t>
      </w:r>
      <w:r w:rsidR="00210974">
        <w:rPr>
          <w:rFonts w:cs="Arial"/>
          <w:szCs w:val="24"/>
        </w:rPr>
        <w:t xml:space="preserve">tend </w:t>
      </w:r>
      <w:r w:rsidR="00314F96">
        <w:rPr>
          <w:rFonts w:cs="Arial"/>
          <w:szCs w:val="24"/>
        </w:rPr>
        <w:t>to order the tenant to pay the terms of the SPO so that the Council can only recover the set minimum payment each week towards the arrears</w:t>
      </w:r>
      <w:r w:rsidR="0052507B">
        <w:rPr>
          <w:rFonts w:cs="Arial"/>
          <w:szCs w:val="24"/>
        </w:rPr>
        <w:t xml:space="preserve">. The current limit is  </w:t>
      </w:r>
      <w:r w:rsidR="00E33A92" w:rsidRPr="00A0349B">
        <w:rPr>
          <w:rFonts w:cs="Arial"/>
          <w:szCs w:val="24"/>
        </w:rPr>
        <w:t xml:space="preserve"> £81.89 a month for tenants </w:t>
      </w:r>
      <w:r w:rsidR="00DE451D">
        <w:rPr>
          <w:rFonts w:cs="Arial"/>
          <w:szCs w:val="24"/>
        </w:rPr>
        <w:t xml:space="preserve">in </w:t>
      </w:r>
      <w:r w:rsidR="00E33A92" w:rsidRPr="00A0349B">
        <w:rPr>
          <w:rFonts w:cs="Arial"/>
          <w:szCs w:val="24"/>
        </w:rPr>
        <w:t>recei</w:t>
      </w:r>
      <w:r w:rsidR="00DE451D">
        <w:rPr>
          <w:rFonts w:cs="Arial"/>
          <w:szCs w:val="24"/>
        </w:rPr>
        <w:t>pt of</w:t>
      </w:r>
      <w:r w:rsidR="00E33A92" w:rsidRPr="00A0349B">
        <w:rPr>
          <w:rFonts w:cs="Arial"/>
          <w:szCs w:val="24"/>
        </w:rPr>
        <w:t xml:space="preserve"> Universal Credit. It is not common practice for courts to set a </w:t>
      </w:r>
      <w:proofErr w:type="gramStart"/>
      <w:r w:rsidR="00DE451D">
        <w:rPr>
          <w:rFonts w:cs="Arial"/>
          <w:szCs w:val="24"/>
        </w:rPr>
        <w:t xml:space="preserve">SPO </w:t>
      </w:r>
      <w:r w:rsidR="00C24D85">
        <w:rPr>
          <w:rFonts w:cs="Arial"/>
          <w:szCs w:val="24"/>
        </w:rPr>
        <w:t xml:space="preserve"> requiring</w:t>
      </w:r>
      <w:proofErr w:type="gramEnd"/>
      <w:r w:rsidR="00C24D85">
        <w:rPr>
          <w:rFonts w:cs="Arial"/>
          <w:szCs w:val="24"/>
        </w:rPr>
        <w:t xml:space="preserve"> </w:t>
      </w:r>
      <w:r w:rsidR="00E33A92" w:rsidRPr="00A0349B">
        <w:rPr>
          <w:rFonts w:cs="Arial"/>
          <w:szCs w:val="24"/>
        </w:rPr>
        <w:t xml:space="preserve">a higher </w:t>
      </w:r>
      <w:r w:rsidR="00C24D85">
        <w:rPr>
          <w:rFonts w:cs="Arial"/>
          <w:szCs w:val="24"/>
        </w:rPr>
        <w:t xml:space="preserve">monthly payment </w:t>
      </w:r>
      <w:r w:rsidR="009D1766">
        <w:rPr>
          <w:rFonts w:cs="Arial"/>
          <w:szCs w:val="24"/>
        </w:rPr>
        <w:t xml:space="preserve">to </w:t>
      </w:r>
      <w:r w:rsidR="00E33A92" w:rsidRPr="00A0349B">
        <w:rPr>
          <w:rFonts w:cs="Arial"/>
          <w:szCs w:val="24"/>
        </w:rPr>
        <w:t>clear arrears by the end of the flexible tenancy period.</w:t>
      </w:r>
      <w:r w:rsidR="00CB2F1D">
        <w:rPr>
          <w:rFonts w:cs="Arial"/>
          <w:szCs w:val="24"/>
        </w:rPr>
        <w:t xml:space="preserve"> </w:t>
      </w:r>
      <w:r w:rsidR="009D1766">
        <w:rPr>
          <w:rFonts w:cs="Arial"/>
          <w:szCs w:val="24"/>
        </w:rPr>
        <w:t xml:space="preserve">Cases such as these cause </w:t>
      </w:r>
      <w:r w:rsidR="00CB2F1D">
        <w:rPr>
          <w:rFonts w:cs="Arial"/>
          <w:szCs w:val="24"/>
        </w:rPr>
        <w:t>a negative impact on the Housing Revenue Account.</w:t>
      </w:r>
      <w:r w:rsidR="00093465">
        <w:rPr>
          <w:rFonts w:cs="Arial"/>
          <w:szCs w:val="24"/>
        </w:rPr>
        <w:t xml:space="preserve"> Further </w:t>
      </w:r>
      <w:r w:rsidR="00093465" w:rsidRPr="00A0349B">
        <w:rPr>
          <w:rFonts w:cs="Arial"/>
          <w:szCs w:val="24"/>
        </w:rPr>
        <w:t xml:space="preserve">challenges are listed in </w:t>
      </w:r>
      <w:r w:rsidR="00093465" w:rsidRPr="0004172F">
        <w:rPr>
          <w:rFonts w:cs="Arial"/>
          <w:szCs w:val="24"/>
        </w:rPr>
        <w:t>Appendix</w:t>
      </w:r>
      <w:r w:rsidR="00093465" w:rsidRPr="00A0349B">
        <w:rPr>
          <w:rFonts w:cs="Arial"/>
          <w:szCs w:val="24"/>
        </w:rPr>
        <w:t xml:space="preserve"> </w:t>
      </w:r>
      <w:r w:rsidR="00DD73C3" w:rsidRPr="009015BB">
        <w:rPr>
          <w:rFonts w:cs="Arial"/>
          <w:szCs w:val="24"/>
        </w:rPr>
        <w:t>4</w:t>
      </w:r>
      <w:r w:rsidR="00093465" w:rsidRPr="00A0349B">
        <w:rPr>
          <w:rFonts w:cs="Arial"/>
          <w:szCs w:val="24"/>
        </w:rPr>
        <w:t>.</w:t>
      </w:r>
    </w:p>
    <w:p w14:paraId="46E92F6A" w14:textId="7ACCDB56" w:rsidR="00360C1E" w:rsidRDefault="00360C1E" w:rsidP="00D80CC8">
      <w:pPr>
        <w:jc w:val="both"/>
        <w:rPr>
          <w:rFonts w:cs="Arial"/>
        </w:rPr>
      </w:pPr>
    </w:p>
    <w:p w14:paraId="20075D51" w14:textId="6DC6026A" w:rsidR="00360C1E" w:rsidRPr="00315EC8" w:rsidRDefault="00360C1E" w:rsidP="00D95BC4">
      <w:pPr>
        <w:pStyle w:val="ListParagraph"/>
        <w:numPr>
          <w:ilvl w:val="1"/>
          <w:numId w:val="5"/>
        </w:numPr>
        <w:jc w:val="both"/>
        <w:rPr>
          <w:rFonts w:cs="Arial"/>
          <w:b/>
          <w:bCs/>
        </w:rPr>
      </w:pPr>
      <w:r w:rsidRPr="00315EC8">
        <w:rPr>
          <w:rFonts w:cs="Arial"/>
          <w:b/>
          <w:bCs/>
        </w:rPr>
        <w:t>Local and London-wide provision</w:t>
      </w:r>
    </w:p>
    <w:p w14:paraId="212D9BFD" w14:textId="00EAF0FB" w:rsidR="00360C1E" w:rsidRDefault="00360C1E" w:rsidP="00D80CC8">
      <w:pPr>
        <w:jc w:val="both"/>
        <w:rPr>
          <w:rFonts w:cs="Arial"/>
        </w:rPr>
      </w:pPr>
    </w:p>
    <w:p w14:paraId="502B8228" w14:textId="274FA9FF" w:rsidR="00360C1E" w:rsidRPr="00360C1E" w:rsidRDefault="000C5824" w:rsidP="00D80CC8">
      <w:pPr>
        <w:jc w:val="both"/>
        <w:rPr>
          <w:rFonts w:cs="Arial"/>
        </w:rPr>
      </w:pPr>
      <w:r>
        <w:rPr>
          <w:rFonts w:cs="Arial"/>
        </w:rPr>
        <w:t xml:space="preserve">Flexible tenancies were adopted by a variety of </w:t>
      </w:r>
      <w:r w:rsidR="00F67035">
        <w:rPr>
          <w:rFonts w:cs="Arial"/>
        </w:rPr>
        <w:t xml:space="preserve">social </w:t>
      </w:r>
      <w:r>
        <w:rPr>
          <w:rFonts w:cs="Arial"/>
        </w:rPr>
        <w:t xml:space="preserve">housing providers from 2012.  Following </w:t>
      </w:r>
      <w:r w:rsidR="00463515">
        <w:rPr>
          <w:rFonts w:cs="Arial"/>
        </w:rPr>
        <w:t>p</w:t>
      </w:r>
      <w:r>
        <w:rPr>
          <w:rFonts w:cs="Arial"/>
        </w:rPr>
        <w:t xml:space="preserve">olicy reviews, many larger registered providers and local </w:t>
      </w:r>
      <w:r w:rsidR="005B7DC5">
        <w:rPr>
          <w:rFonts w:cs="Arial"/>
        </w:rPr>
        <w:t xml:space="preserve">housing </w:t>
      </w:r>
      <w:r>
        <w:rPr>
          <w:rFonts w:cs="Arial"/>
        </w:rPr>
        <w:t xml:space="preserve">authorities have reverted to only awarding lifetime tenancies, citing legislative restraints, tenant anxiety and </w:t>
      </w:r>
      <w:r w:rsidR="00EA0CAA">
        <w:rPr>
          <w:rFonts w:cs="Arial"/>
        </w:rPr>
        <w:t xml:space="preserve">officer </w:t>
      </w:r>
      <w:r>
        <w:rPr>
          <w:rFonts w:cs="Arial"/>
        </w:rPr>
        <w:t xml:space="preserve">workload as the major reasons.  Of our </w:t>
      </w:r>
      <w:r w:rsidR="00613CDC">
        <w:rPr>
          <w:rFonts w:cs="Arial"/>
        </w:rPr>
        <w:t>W</w:t>
      </w:r>
      <w:r>
        <w:rPr>
          <w:rFonts w:cs="Arial"/>
        </w:rPr>
        <w:t>est London neighb</w:t>
      </w:r>
      <w:r w:rsidR="00EA0CAA">
        <w:rPr>
          <w:rFonts w:cs="Arial"/>
        </w:rPr>
        <w:t>our</w:t>
      </w:r>
      <w:r>
        <w:rPr>
          <w:rFonts w:cs="Arial"/>
        </w:rPr>
        <w:t xml:space="preserve">s, Hillingdon remains the only borough offering flexible tenure </w:t>
      </w:r>
      <w:r w:rsidR="00EA0CAA">
        <w:rPr>
          <w:rFonts w:cs="Arial"/>
        </w:rPr>
        <w:t>with</w:t>
      </w:r>
      <w:r>
        <w:rPr>
          <w:rFonts w:cs="Arial"/>
        </w:rPr>
        <w:t xml:space="preserve"> </w:t>
      </w:r>
      <w:r w:rsidR="00E5589A">
        <w:rPr>
          <w:rFonts w:cs="Arial"/>
        </w:rPr>
        <w:t xml:space="preserve">Kensington &amp; Chelsea </w:t>
      </w:r>
      <w:r>
        <w:rPr>
          <w:rFonts w:cs="Arial"/>
        </w:rPr>
        <w:t>recently revert</w:t>
      </w:r>
      <w:r w:rsidR="00A85F48">
        <w:rPr>
          <w:rFonts w:cs="Arial"/>
        </w:rPr>
        <w:t>ing</w:t>
      </w:r>
      <w:r>
        <w:rPr>
          <w:rFonts w:cs="Arial"/>
        </w:rPr>
        <w:t xml:space="preserve"> to lifetime tenancies.  </w:t>
      </w:r>
    </w:p>
    <w:p w14:paraId="24A06421" w14:textId="77777777" w:rsidR="005552B6" w:rsidRPr="00D80CC8" w:rsidRDefault="005552B6" w:rsidP="00D80CC8">
      <w:pPr>
        <w:jc w:val="both"/>
        <w:rPr>
          <w:rFonts w:cs="Arial"/>
          <w:sz w:val="28"/>
          <w:szCs w:val="28"/>
        </w:rPr>
      </w:pPr>
    </w:p>
    <w:p w14:paraId="73318E84" w14:textId="3B13C53B" w:rsidR="005552B6" w:rsidRPr="00D80CC8" w:rsidRDefault="005552B6" w:rsidP="00D95BC4">
      <w:pPr>
        <w:pStyle w:val="ListParagraph"/>
        <w:numPr>
          <w:ilvl w:val="0"/>
          <w:numId w:val="5"/>
        </w:numPr>
        <w:jc w:val="both"/>
        <w:rPr>
          <w:rFonts w:cs="Arial"/>
          <w:b/>
          <w:bCs/>
          <w:sz w:val="28"/>
          <w:szCs w:val="28"/>
        </w:rPr>
      </w:pPr>
      <w:r w:rsidRPr="00D80CC8">
        <w:rPr>
          <w:rFonts w:cs="Arial"/>
          <w:b/>
          <w:bCs/>
          <w:sz w:val="28"/>
          <w:szCs w:val="28"/>
        </w:rPr>
        <w:t>Proposed Changes</w:t>
      </w:r>
    </w:p>
    <w:p w14:paraId="4B89EBCD" w14:textId="77777777" w:rsidR="005552B6" w:rsidRDefault="005552B6" w:rsidP="00D80CC8">
      <w:pPr>
        <w:jc w:val="both"/>
        <w:rPr>
          <w:rFonts w:cs="Arial"/>
          <w:color w:val="0000FF"/>
          <w:sz w:val="28"/>
          <w:szCs w:val="28"/>
        </w:rPr>
      </w:pPr>
    </w:p>
    <w:p w14:paraId="65DE28BE" w14:textId="2A9BBC87" w:rsidR="002A46E2" w:rsidRPr="00734C33" w:rsidRDefault="009F285D" w:rsidP="00D80CC8">
      <w:pPr>
        <w:jc w:val="both"/>
        <w:rPr>
          <w:rFonts w:cs="Arial"/>
          <w:b/>
          <w:bCs/>
          <w:szCs w:val="24"/>
        </w:rPr>
      </w:pPr>
      <w:r>
        <w:rPr>
          <w:rFonts w:cs="Arial"/>
          <w:b/>
          <w:bCs/>
          <w:sz w:val="22"/>
          <w:szCs w:val="22"/>
        </w:rPr>
        <w:t>5.1</w:t>
      </w:r>
      <w:r>
        <w:rPr>
          <w:rFonts w:cs="Arial"/>
          <w:b/>
          <w:bCs/>
          <w:sz w:val="22"/>
          <w:szCs w:val="22"/>
        </w:rPr>
        <w:tab/>
      </w:r>
      <w:r w:rsidR="002A46E2" w:rsidRPr="00734C33">
        <w:rPr>
          <w:rFonts w:cs="Arial"/>
          <w:b/>
          <w:bCs/>
          <w:szCs w:val="24"/>
        </w:rPr>
        <w:t>Proposed Changes to the Housing Allocation Scheme</w:t>
      </w:r>
    </w:p>
    <w:p w14:paraId="02804059" w14:textId="412F967E" w:rsidR="00D94DEC" w:rsidRDefault="00D94DEC" w:rsidP="00D80CC8">
      <w:pPr>
        <w:pStyle w:val="Default"/>
        <w:jc w:val="both"/>
      </w:pPr>
    </w:p>
    <w:p w14:paraId="59AD278E" w14:textId="54AE37DA" w:rsidR="00657D5E" w:rsidRPr="00DD21B4" w:rsidRDefault="00657D5E" w:rsidP="00D80CC8">
      <w:pPr>
        <w:pStyle w:val="Default"/>
        <w:jc w:val="both"/>
        <w:rPr>
          <w:b/>
        </w:rPr>
      </w:pPr>
      <w:r w:rsidRPr="00DD21B4">
        <w:rPr>
          <w:b/>
        </w:rPr>
        <w:t>5.1.2</w:t>
      </w:r>
      <w:r w:rsidRPr="00DD21B4">
        <w:rPr>
          <w:b/>
        </w:rPr>
        <w:tab/>
        <w:t>Use of Choice Based Lettings</w:t>
      </w:r>
    </w:p>
    <w:p w14:paraId="066DE8FF" w14:textId="77777777" w:rsidR="00657D5E" w:rsidRDefault="00657D5E" w:rsidP="00D95BC4">
      <w:pPr>
        <w:pStyle w:val="Default"/>
        <w:numPr>
          <w:ilvl w:val="0"/>
          <w:numId w:val="3"/>
        </w:numPr>
        <w:spacing w:after="14"/>
        <w:jc w:val="both"/>
      </w:pPr>
    </w:p>
    <w:p w14:paraId="7552708E" w14:textId="4C8E3401" w:rsidR="00201F64" w:rsidRDefault="00201F64" w:rsidP="00D80CC8">
      <w:pPr>
        <w:pStyle w:val="Default"/>
        <w:spacing w:after="14"/>
        <w:jc w:val="both"/>
      </w:pPr>
      <w:r w:rsidRPr="00734C33">
        <w:t xml:space="preserve">We consulted on the option of suspending Choice Based Lettings </w:t>
      </w:r>
      <w:r w:rsidR="003F5317" w:rsidRPr="00734C33">
        <w:t>and</w:t>
      </w:r>
      <w:r w:rsidR="00EB50F5" w:rsidRPr="00734C33">
        <w:t xml:space="preserve"> instead</w:t>
      </w:r>
      <w:r w:rsidR="003F5317" w:rsidRPr="00734C33">
        <w:t xml:space="preserve"> </w:t>
      </w:r>
      <w:r w:rsidR="004578F1" w:rsidRPr="00734C33">
        <w:t xml:space="preserve"> implement</w:t>
      </w:r>
      <w:r w:rsidR="00EB50F5" w:rsidRPr="00734C33">
        <w:t>ing</w:t>
      </w:r>
      <w:r w:rsidR="004578F1" w:rsidRPr="00734C33">
        <w:t xml:space="preserve"> </w:t>
      </w:r>
      <w:r w:rsidR="003F5317" w:rsidRPr="00734C33">
        <w:t>direct offers for all lettings for a period but following feedback and further research we now propose to</w:t>
      </w:r>
      <w:r w:rsidR="008D2109" w:rsidRPr="00734C33">
        <w:t xml:space="preserve"> continue using Choice Based Lettings for the majority of social housing lettings but to</w:t>
      </w:r>
      <w:r w:rsidR="003F5317" w:rsidRPr="00734C33">
        <w:t xml:space="preserve"> implement more </w:t>
      </w:r>
      <w:r w:rsidR="00AA7A1A" w:rsidRPr="00734C33">
        <w:t xml:space="preserve">robustly the existing penalties for refusals and </w:t>
      </w:r>
      <w:r w:rsidR="00D86B0F" w:rsidRPr="00734C33">
        <w:t xml:space="preserve">for not </w:t>
      </w:r>
      <w:r w:rsidR="00AA7A1A" w:rsidRPr="00734C33">
        <w:t>bidding and review again in 12 months.</w:t>
      </w:r>
    </w:p>
    <w:p w14:paraId="4347C0C4" w14:textId="77777777" w:rsidR="00734C33" w:rsidRDefault="00734C33" w:rsidP="00D80CC8">
      <w:pPr>
        <w:jc w:val="both"/>
        <w:rPr>
          <w:rFonts w:cs="Arial"/>
        </w:rPr>
      </w:pPr>
    </w:p>
    <w:p w14:paraId="352EC8EE" w14:textId="7ADB8B53" w:rsidR="00734C33" w:rsidRDefault="00734C33" w:rsidP="00D80CC8">
      <w:pPr>
        <w:jc w:val="both"/>
        <w:rPr>
          <w:rFonts w:cs="Arial"/>
        </w:rPr>
      </w:pPr>
      <w:r>
        <w:rPr>
          <w:rFonts w:cs="Arial"/>
        </w:rPr>
        <w:t>We will monitor and review in 12 months using</w:t>
      </w:r>
      <w:r w:rsidR="00DE01C3">
        <w:rPr>
          <w:rFonts w:cs="Arial"/>
        </w:rPr>
        <w:t xml:space="preserve"> the following indicators</w:t>
      </w:r>
      <w:r>
        <w:rPr>
          <w:rFonts w:cs="Arial"/>
        </w:rPr>
        <w:t>:</w:t>
      </w:r>
    </w:p>
    <w:p w14:paraId="2A221965" w14:textId="77777777" w:rsidR="00DD21B4" w:rsidRDefault="00DD21B4" w:rsidP="00D80CC8">
      <w:pPr>
        <w:jc w:val="both"/>
        <w:rPr>
          <w:rFonts w:cs="Arial"/>
        </w:rPr>
      </w:pPr>
    </w:p>
    <w:p w14:paraId="5EDF233B" w14:textId="77777777" w:rsidR="00734C33" w:rsidRPr="00EC48E9" w:rsidRDefault="00734C33" w:rsidP="00D95BC4">
      <w:pPr>
        <w:pStyle w:val="ListParagraph"/>
        <w:numPr>
          <w:ilvl w:val="0"/>
          <w:numId w:val="8"/>
        </w:numPr>
        <w:contextualSpacing/>
        <w:jc w:val="both"/>
        <w:rPr>
          <w:rFonts w:cs="Arial"/>
        </w:rPr>
      </w:pPr>
      <w:r w:rsidRPr="00EC48E9">
        <w:rPr>
          <w:rFonts w:cs="Arial"/>
        </w:rPr>
        <w:t>Number of lettings by band, bedroom size and waiting time, broken down by the protected characteristics of the applicants</w:t>
      </w:r>
    </w:p>
    <w:p w14:paraId="3157874B" w14:textId="77777777" w:rsidR="00734C33" w:rsidRPr="00EC48E9" w:rsidRDefault="00734C33" w:rsidP="00D95BC4">
      <w:pPr>
        <w:pStyle w:val="ListParagraph"/>
        <w:numPr>
          <w:ilvl w:val="0"/>
          <w:numId w:val="8"/>
        </w:numPr>
        <w:contextualSpacing/>
        <w:jc w:val="both"/>
        <w:rPr>
          <w:rFonts w:cs="Arial"/>
        </w:rPr>
      </w:pPr>
      <w:r w:rsidRPr="00EC48E9">
        <w:rPr>
          <w:rFonts w:cs="Arial"/>
        </w:rPr>
        <w:t>Number of applicants by band and bedroom size who have failed to bid, broken down by the protected characteristics</w:t>
      </w:r>
    </w:p>
    <w:p w14:paraId="05EE2191" w14:textId="77777777" w:rsidR="00734C33" w:rsidRPr="00EC48E9" w:rsidRDefault="00734C33" w:rsidP="00D95BC4">
      <w:pPr>
        <w:pStyle w:val="ListParagraph"/>
        <w:numPr>
          <w:ilvl w:val="0"/>
          <w:numId w:val="8"/>
        </w:numPr>
        <w:contextualSpacing/>
        <w:jc w:val="both"/>
        <w:rPr>
          <w:rFonts w:cs="Arial"/>
        </w:rPr>
      </w:pPr>
      <w:r w:rsidRPr="00EC48E9">
        <w:rPr>
          <w:rFonts w:cs="Arial"/>
        </w:rPr>
        <w:t>Number of applicants by band and bedroom size who have refused a property where a direct offer has been made, broken down by the protected characteristics</w:t>
      </w:r>
    </w:p>
    <w:p w14:paraId="1B8A5892" w14:textId="77777777" w:rsidR="00734C33" w:rsidRPr="00EC48E9" w:rsidRDefault="00734C33" w:rsidP="00D95BC4">
      <w:pPr>
        <w:pStyle w:val="ListParagraph"/>
        <w:numPr>
          <w:ilvl w:val="0"/>
          <w:numId w:val="8"/>
        </w:numPr>
        <w:contextualSpacing/>
        <w:jc w:val="both"/>
        <w:rPr>
          <w:rFonts w:cs="Arial"/>
        </w:rPr>
      </w:pPr>
      <w:r w:rsidRPr="00EC48E9">
        <w:rPr>
          <w:rFonts w:cs="Arial"/>
        </w:rPr>
        <w:t>Number of applicants by band and bedroom size who have refused a direct offer and been downgraded, broken down by the protected characteristics</w:t>
      </w:r>
    </w:p>
    <w:p w14:paraId="2574A8EA" w14:textId="77777777" w:rsidR="00734C33" w:rsidRPr="00EC48E9" w:rsidRDefault="00734C33" w:rsidP="00D95BC4">
      <w:pPr>
        <w:pStyle w:val="ListParagraph"/>
        <w:numPr>
          <w:ilvl w:val="0"/>
          <w:numId w:val="8"/>
        </w:numPr>
        <w:contextualSpacing/>
        <w:jc w:val="both"/>
        <w:rPr>
          <w:rFonts w:cs="Arial"/>
        </w:rPr>
      </w:pPr>
      <w:r w:rsidRPr="00EC48E9">
        <w:rPr>
          <w:rFonts w:cs="Arial"/>
        </w:rPr>
        <w:t xml:space="preserve">Type of property refused </w:t>
      </w:r>
    </w:p>
    <w:p w14:paraId="0780E49D" w14:textId="77777777" w:rsidR="00734C33" w:rsidRPr="00EC48E9" w:rsidRDefault="00734C33" w:rsidP="00D95BC4">
      <w:pPr>
        <w:pStyle w:val="ListParagraph"/>
        <w:numPr>
          <w:ilvl w:val="0"/>
          <w:numId w:val="8"/>
        </w:numPr>
        <w:contextualSpacing/>
        <w:jc w:val="both"/>
        <w:rPr>
          <w:rFonts w:cs="Arial"/>
        </w:rPr>
      </w:pPr>
      <w:r w:rsidRPr="00EC48E9">
        <w:rPr>
          <w:rFonts w:cs="Arial"/>
        </w:rPr>
        <w:t>Reasons for refusal</w:t>
      </w:r>
    </w:p>
    <w:p w14:paraId="160623FB" w14:textId="0FA0C006" w:rsidR="00201F64" w:rsidRDefault="00201F64" w:rsidP="00D80CC8">
      <w:pPr>
        <w:pStyle w:val="Default"/>
        <w:spacing w:after="14"/>
        <w:jc w:val="both"/>
      </w:pPr>
    </w:p>
    <w:p w14:paraId="24F35D07" w14:textId="6E4B2F92" w:rsidR="00315EC8" w:rsidRPr="00DD21B4" w:rsidRDefault="00315EC8" w:rsidP="00D80CC8">
      <w:pPr>
        <w:pStyle w:val="Default"/>
        <w:spacing w:after="14"/>
        <w:jc w:val="both"/>
        <w:rPr>
          <w:b/>
        </w:rPr>
      </w:pPr>
      <w:r w:rsidRPr="00DD21B4">
        <w:rPr>
          <w:b/>
        </w:rPr>
        <w:t xml:space="preserve">5.1.3 Other changes and amendments </w:t>
      </w:r>
    </w:p>
    <w:p w14:paraId="10CF96DD" w14:textId="77777777" w:rsidR="00315EC8" w:rsidRPr="00734C33" w:rsidRDefault="00315EC8" w:rsidP="00D80CC8">
      <w:pPr>
        <w:pStyle w:val="Default"/>
        <w:spacing w:after="14"/>
        <w:jc w:val="both"/>
      </w:pPr>
    </w:p>
    <w:p w14:paraId="04C10761" w14:textId="76B4ED72" w:rsidR="006F5720" w:rsidRDefault="00D94DEC" w:rsidP="00DD21B4">
      <w:pPr>
        <w:pStyle w:val="Default"/>
        <w:spacing w:after="14"/>
        <w:jc w:val="both"/>
      </w:pPr>
      <w:r w:rsidRPr="00734C33">
        <w:t xml:space="preserve">We </w:t>
      </w:r>
      <w:r w:rsidR="0003276F" w:rsidRPr="00734C33">
        <w:t xml:space="preserve">propose </w:t>
      </w:r>
      <w:r w:rsidRPr="00734C33">
        <w:t>minor amendments to the Scheme to address changes in law and other issues including:</w:t>
      </w:r>
    </w:p>
    <w:p w14:paraId="79350CE2" w14:textId="77777777" w:rsidR="00DD21B4" w:rsidRPr="00734C33" w:rsidRDefault="00DD21B4" w:rsidP="00DD21B4">
      <w:pPr>
        <w:pStyle w:val="Default"/>
        <w:spacing w:after="14"/>
        <w:jc w:val="both"/>
      </w:pPr>
    </w:p>
    <w:p w14:paraId="008F5D7C" w14:textId="77777777" w:rsidR="006F5720" w:rsidRPr="00734C33" w:rsidRDefault="00D94DEC" w:rsidP="00D95BC4">
      <w:pPr>
        <w:pStyle w:val="Default"/>
        <w:numPr>
          <w:ilvl w:val="0"/>
          <w:numId w:val="9"/>
        </w:numPr>
        <w:jc w:val="both"/>
      </w:pPr>
      <w:r w:rsidRPr="00734C33">
        <w:t>the Homelessness Reduction Act 2017</w:t>
      </w:r>
    </w:p>
    <w:p w14:paraId="1D7D7E79" w14:textId="77777777" w:rsidR="006F5720" w:rsidRPr="00734C33" w:rsidRDefault="0003276F" w:rsidP="00D95BC4">
      <w:pPr>
        <w:pStyle w:val="Default"/>
        <w:numPr>
          <w:ilvl w:val="0"/>
          <w:numId w:val="9"/>
        </w:numPr>
        <w:jc w:val="both"/>
      </w:pPr>
      <w:r w:rsidRPr="00734C33">
        <w:t>t</w:t>
      </w:r>
      <w:r w:rsidR="00D94DEC" w:rsidRPr="00734C33">
        <w:t>he latest Homelessness Code of Guidance for Local Authorities</w:t>
      </w:r>
    </w:p>
    <w:p w14:paraId="13913C26" w14:textId="77777777" w:rsidR="006F5720" w:rsidRPr="00734C33" w:rsidRDefault="00D94DEC" w:rsidP="00D95BC4">
      <w:pPr>
        <w:pStyle w:val="Default"/>
        <w:numPr>
          <w:ilvl w:val="0"/>
          <w:numId w:val="9"/>
        </w:numPr>
        <w:jc w:val="both"/>
      </w:pPr>
      <w:r w:rsidRPr="00734C33">
        <w:t>Income Levels to Access Social Housing</w:t>
      </w:r>
    </w:p>
    <w:p w14:paraId="611312FA" w14:textId="77777777" w:rsidR="006F5720" w:rsidRPr="00734C33" w:rsidRDefault="0017052E" w:rsidP="00D95BC4">
      <w:pPr>
        <w:pStyle w:val="Default"/>
        <w:numPr>
          <w:ilvl w:val="0"/>
          <w:numId w:val="9"/>
        </w:numPr>
        <w:jc w:val="both"/>
      </w:pPr>
      <w:r w:rsidRPr="00734C33">
        <w:t>changes to West London and Pan London schemes</w:t>
      </w:r>
    </w:p>
    <w:p w14:paraId="2D72F561" w14:textId="77777777" w:rsidR="006F5720" w:rsidRPr="00734C33" w:rsidRDefault="00BD6CBA" w:rsidP="00D95BC4">
      <w:pPr>
        <w:pStyle w:val="Default"/>
        <w:numPr>
          <w:ilvl w:val="0"/>
          <w:numId w:val="9"/>
        </w:numPr>
        <w:jc w:val="both"/>
      </w:pPr>
      <w:r w:rsidRPr="00734C33">
        <w:t>changes to Registered Providers (housing associations) such as mergers</w:t>
      </w:r>
    </w:p>
    <w:p w14:paraId="4FB0B32D" w14:textId="1667F6C7" w:rsidR="00D94DEC" w:rsidRPr="00734C33" w:rsidRDefault="00D94DEC" w:rsidP="00D95BC4">
      <w:pPr>
        <w:pStyle w:val="Default"/>
        <w:numPr>
          <w:ilvl w:val="0"/>
          <w:numId w:val="9"/>
        </w:numPr>
        <w:jc w:val="both"/>
      </w:pPr>
      <w:r w:rsidRPr="00734C33">
        <w:t xml:space="preserve">6 changes detailed below. </w:t>
      </w:r>
    </w:p>
    <w:p w14:paraId="6E99EF9B" w14:textId="77777777" w:rsidR="00D94DEC" w:rsidRPr="008D5389" w:rsidRDefault="00D94DEC" w:rsidP="00D80CC8">
      <w:pPr>
        <w:pStyle w:val="Default"/>
        <w:jc w:val="both"/>
      </w:pPr>
    </w:p>
    <w:p w14:paraId="5BD12AF7" w14:textId="5431112B" w:rsidR="00CC306B" w:rsidRPr="00DD21B4" w:rsidRDefault="00D94DEC" w:rsidP="00D95BC4">
      <w:pPr>
        <w:pStyle w:val="Default"/>
        <w:numPr>
          <w:ilvl w:val="0"/>
          <w:numId w:val="10"/>
        </w:numPr>
        <w:jc w:val="both"/>
        <w:rPr>
          <w:b/>
        </w:rPr>
      </w:pPr>
      <w:r w:rsidRPr="00DD21B4">
        <w:rPr>
          <w:b/>
        </w:rPr>
        <w:t xml:space="preserve">Sheltered Housing </w:t>
      </w:r>
      <w:r w:rsidR="00BB0327" w:rsidRPr="00DD21B4">
        <w:rPr>
          <w:b/>
        </w:rPr>
        <w:t>for Older People</w:t>
      </w:r>
    </w:p>
    <w:p w14:paraId="00606938" w14:textId="77777777" w:rsidR="00CC306B" w:rsidRPr="008D5389" w:rsidRDefault="00CC306B" w:rsidP="00D80CC8">
      <w:pPr>
        <w:pStyle w:val="Default"/>
        <w:jc w:val="both"/>
        <w:rPr>
          <w:b/>
          <w:bCs/>
        </w:rPr>
      </w:pPr>
    </w:p>
    <w:p w14:paraId="49767F16" w14:textId="4AE264C1" w:rsidR="00D94DEC" w:rsidRPr="008D5389" w:rsidRDefault="00D94DEC" w:rsidP="00D80CC8">
      <w:pPr>
        <w:pStyle w:val="Default"/>
        <w:jc w:val="both"/>
      </w:pPr>
      <w:r w:rsidRPr="008D5389">
        <w:t>Current</w:t>
      </w:r>
      <w:r w:rsidR="006E1FD7" w:rsidRPr="008D5389">
        <w:t>ly al</w:t>
      </w:r>
      <w:r w:rsidRPr="008D5389">
        <w:t xml:space="preserve">l sheltered applicants </w:t>
      </w:r>
      <w:r w:rsidR="00BA4BD3">
        <w:t xml:space="preserve">are </w:t>
      </w:r>
      <w:r w:rsidRPr="008D5389">
        <w:t>awarded Band B</w:t>
      </w:r>
      <w:r w:rsidR="006E1FD7" w:rsidRPr="008D5389">
        <w:t xml:space="preserve">. Urgent cases are </w:t>
      </w:r>
      <w:r w:rsidRPr="008D5389">
        <w:t>awarded Band A general needs but prioritised for sheltered</w:t>
      </w:r>
      <w:r w:rsidR="006E1FD7" w:rsidRPr="008D5389">
        <w:t xml:space="preserve"> housing which is </w:t>
      </w:r>
      <w:r w:rsidRPr="008D5389">
        <w:t>difficult to administer</w:t>
      </w:r>
      <w:r w:rsidR="006E1FD7" w:rsidRPr="008D5389">
        <w:t xml:space="preserve">. </w:t>
      </w:r>
      <w:r w:rsidRPr="008D5389">
        <w:t>Demand</w:t>
      </w:r>
      <w:r w:rsidR="006E1FD7" w:rsidRPr="008D5389">
        <w:t xml:space="preserve"> for sheltered housing in Harrow is</w:t>
      </w:r>
      <w:r w:rsidRPr="008D5389">
        <w:t xml:space="preserve"> outstripping supply</w:t>
      </w:r>
      <w:r w:rsidR="006E1FD7" w:rsidRPr="008D5389">
        <w:t>.</w:t>
      </w:r>
      <w:r w:rsidRPr="008D5389">
        <w:t xml:space="preserve"> </w:t>
      </w:r>
    </w:p>
    <w:p w14:paraId="61F64C47" w14:textId="77777777" w:rsidR="00D94DEC" w:rsidRPr="008D5389" w:rsidRDefault="00D94DEC" w:rsidP="00D80CC8">
      <w:pPr>
        <w:pStyle w:val="Default"/>
        <w:jc w:val="both"/>
      </w:pPr>
    </w:p>
    <w:p w14:paraId="2E74C402" w14:textId="4DBB55DF" w:rsidR="009B5EDB" w:rsidRDefault="006E1FD7" w:rsidP="00D80CC8">
      <w:pPr>
        <w:pStyle w:val="Default"/>
        <w:jc w:val="both"/>
      </w:pPr>
      <w:r w:rsidRPr="008D5389">
        <w:t>We p</w:t>
      </w:r>
      <w:r w:rsidR="00D94DEC" w:rsidRPr="008D5389">
        <w:t>ropos</w:t>
      </w:r>
      <w:r w:rsidRPr="008D5389">
        <w:t xml:space="preserve">e to </w:t>
      </w:r>
      <w:r w:rsidR="00BB0327" w:rsidRPr="008D5389">
        <w:t xml:space="preserve">introduce </w:t>
      </w:r>
      <w:r w:rsidR="00BA4BD3">
        <w:t xml:space="preserve">the following </w:t>
      </w:r>
      <w:r w:rsidR="00BB0327" w:rsidRPr="008D5389">
        <w:t>b</w:t>
      </w:r>
      <w:r w:rsidR="00D94DEC" w:rsidRPr="008D5389">
        <w:t xml:space="preserve">anding for Sheltered Housing for Older People: </w:t>
      </w:r>
    </w:p>
    <w:p w14:paraId="033C281A" w14:textId="77777777" w:rsidR="00DD21B4" w:rsidRPr="008D5389" w:rsidRDefault="00DD21B4" w:rsidP="00D80CC8">
      <w:pPr>
        <w:pStyle w:val="Default"/>
        <w:jc w:val="both"/>
      </w:pPr>
    </w:p>
    <w:p w14:paraId="648B0415" w14:textId="00A4375E" w:rsidR="00D94DEC" w:rsidRDefault="00D94DEC" w:rsidP="00D95BC4">
      <w:pPr>
        <w:pStyle w:val="Default"/>
        <w:numPr>
          <w:ilvl w:val="0"/>
          <w:numId w:val="14"/>
        </w:numPr>
        <w:spacing w:after="17"/>
        <w:jc w:val="both"/>
      </w:pPr>
      <w:r w:rsidRPr="008D5389">
        <w:t xml:space="preserve">Urgent Priority </w:t>
      </w:r>
    </w:p>
    <w:p w14:paraId="6CC9069F" w14:textId="77777777" w:rsidR="00DD21B4" w:rsidRDefault="00D94DEC" w:rsidP="00D95BC4">
      <w:pPr>
        <w:pStyle w:val="Default"/>
        <w:numPr>
          <w:ilvl w:val="0"/>
          <w:numId w:val="14"/>
        </w:numPr>
        <w:spacing w:after="17"/>
        <w:jc w:val="both"/>
      </w:pPr>
      <w:r w:rsidRPr="008D5389">
        <w:t xml:space="preserve">Standard Priority </w:t>
      </w:r>
    </w:p>
    <w:p w14:paraId="5FBA2A91" w14:textId="77100076" w:rsidR="00D94DEC" w:rsidRPr="008D5389" w:rsidRDefault="00D94DEC" w:rsidP="00D95BC4">
      <w:pPr>
        <w:pStyle w:val="Default"/>
        <w:numPr>
          <w:ilvl w:val="0"/>
          <w:numId w:val="14"/>
        </w:numPr>
        <w:spacing w:after="17"/>
        <w:jc w:val="both"/>
      </w:pPr>
      <w:r w:rsidRPr="008D5389">
        <w:t xml:space="preserve">Out of Borough Applicants </w:t>
      </w:r>
    </w:p>
    <w:p w14:paraId="03FFD3E5" w14:textId="77777777" w:rsidR="00D94DEC" w:rsidRPr="008D5389" w:rsidRDefault="00D94DEC" w:rsidP="00D80CC8">
      <w:pPr>
        <w:pStyle w:val="Default"/>
        <w:jc w:val="both"/>
      </w:pPr>
    </w:p>
    <w:p w14:paraId="0870BC28" w14:textId="5706C3D5" w:rsidR="00D94DEC" w:rsidRPr="008D5389" w:rsidRDefault="00D94DEC" w:rsidP="00D80CC8">
      <w:pPr>
        <w:pStyle w:val="Default"/>
        <w:jc w:val="both"/>
      </w:pPr>
      <w:r w:rsidRPr="008D5389">
        <w:t>A</w:t>
      </w:r>
      <w:r w:rsidR="009B5EDB" w:rsidRPr="008D5389">
        <w:t>s with the current scheme, a</w:t>
      </w:r>
      <w:r w:rsidRPr="008D5389">
        <w:t xml:space="preserve">pplicants </w:t>
      </w:r>
      <w:r w:rsidR="00BB0327" w:rsidRPr="008D5389">
        <w:t>will</w:t>
      </w:r>
      <w:r w:rsidRPr="008D5389">
        <w:t xml:space="preserve"> be considered and </w:t>
      </w:r>
      <w:r w:rsidR="00BA4BD3">
        <w:t xml:space="preserve">put in </w:t>
      </w:r>
      <w:r w:rsidRPr="008D5389">
        <w:t>band</w:t>
      </w:r>
      <w:r w:rsidR="00BA4BD3">
        <w:t>s</w:t>
      </w:r>
      <w:r w:rsidR="000951A5">
        <w:t xml:space="preserve"> that are</w:t>
      </w:r>
      <w:r w:rsidRPr="008D5389">
        <w:t xml:space="preserve"> either the general needs scheme or sheltered scheme</w:t>
      </w:r>
      <w:r w:rsidR="000951A5">
        <w:t xml:space="preserve"> and </w:t>
      </w:r>
      <w:r w:rsidRPr="008D5389">
        <w:t xml:space="preserve">not both. </w:t>
      </w:r>
    </w:p>
    <w:p w14:paraId="67EEF457" w14:textId="7B9E8DA2" w:rsidR="00D94DEC" w:rsidRPr="008D5389" w:rsidRDefault="00D94DEC" w:rsidP="00D80CC8">
      <w:pPr>
        <w:pStyle w:val="Default"/>
        <w:jc w:val="both"/>
      </w:pPr>
    </w:p>
    <w:p w14:paraId="4611BB0C" w14:textId="682F8B68" w:rsidR="00C80C77" w:rsidRPr="008D5389" w:rsidRDefault="00C80C77" w:rsidP="00D80CC8">
      <w:pPr>
        <w:jc w:val="both"/>
        <w:rPr>
          <w:szCs w:val="24"/>
        </w:rPr>
      </w:pPr>
      <w:r w:rsidRPr="008D5389">
        <w:rPr>
          <w:szCs w:val="24"/>
        </w:rPr>
        <w:t xml:space="preserve">This change will </w:t>
      </w:r>
      <w:r w:rsidR="00C215DA" w:rsidRPr="008D5389">
        <w:rPr>
          <w:szCs w:val="24"/>
        </w:rPr>
        <w:t xml:space="preserve">not </w:t>
      </w:r>
      <w:r w:rsidRPr="008D5389">
        <w:rPr>
          <w:szCs w:val="24"/>
        </w:rPr>
        <w:t>disadvantage any current applicant</w:t>
      </w:r>
      <w:r w:rsidR="00020469" w:rsidRPr="008D5389">
        <w:rPr>
          <w:szCs w:val="24"/>
        </w:rPr>
        <w:t>s</w:t>
      </w:r>
      <w:r w:rsidRPr="008D5389">
        <w:rPr>
          <w:szCs w:val="24"/>
        </w:rPr>
        <w:t xml:space="preserve"> as those with an urgent need to move have already been awarded additional priority</w:t>
      </w:r>
      <w:r w:rsidR="00C215DA" w:rsidRPr="008D5389">
        <w:rPr>
          <w:szCs w:val="24"/>
        </w:rPr>
        <w:t>.</w:t>
      </w:r>
    </w:p>
    <w:p w14:paraId="58CCE8F7" w14:textId="77777777" w:rsidR="00775BB9" w:rsidRPr="008D5389" w:rsidRDefault="00775BB9" w:rsidP="00D80CC8">
      <w:pPr>
        <w:pStyle w:val="Default"/>
        <w:jc w:val="both"/>
      </w:pPr>
    </w:p>
    <w:p w14:paraId="55209515" w14:textId="4325DC21" w:rsidR="00D94DEC" w:rsidRPr="00DD21B4" w:rsidRDefault="00D94DEC" w:rsidP="00D95BC4">
      <w:pPr>
        <w:pStyle w:val="Default"/>
        <w:numPr>
          <w:ilvl w:val="0"/>
          <w:numId w:val="10"/>
        </w:numPr>
        <w:jc w:val="both"/>
        <w:rPr>
          <w:b/>
        </w:rPr>
      </w:pPr>
      <w:r w:rsidRPr="00DD21B4">
        <w:rPr>
          <w:b/>
        </w:rPr>
        <w:t xml:space="preserve">New council owned housing used for temporary accommodation </w:t>
      </w:r>
    </w:p>
    <w:p w14:paraId="5E041A8C" w14:textId="77777777" w:rsidR="00D94DEC" w:rsidRPr="008D5389" w:rsidRDefault="00D94DEC" w:rsidP="00D80CC8">
      <w:pPr>
        <w:pStyle w:val="Default"/>
        <w:jc w:val="both"/>
      </w:pPr>
    </w:p>
    <w:p w14:paraId="3CD7F5BB" w14:textId="06A911C4" w:rsidR="00D94DEC" w:rsidRPr="008D5389" w:rsidRDefault="000A03C2" w:rsidP="00D80CC8">
      <w:pPr>
        <w:pStyle w:val="Default"/>
        <w:spacing w:after="14"/>
        <w:jc w:val="both"/>
      </w:pPr>
      <w:r w:rsidRPr="008D5389">
        <w:t xml:space="preserve">The </w:t>
      </w:r>
      <w:r w:rsidR="00D94DEC" w:rsidRPr="008D5389">
        <w:t>Council</w:t>
      </w:r>
      <w:r w:rsidRPr="008D5389">
        <w:t xml:space="preserve"> is</w:t>
      </w:r>
      <w:r w:rsidR="00D94DEC" w:rsidRPr="008D5389">
        <w:t xml:space="preserve"> developing some new housing funded through the General Fund</w:t>
      </w:r>
      <w:r w:rsidR="00E45D7B" w:rsidRPr="008D5389">
        <w:t xml:space="preserve"> (GF)</w:t>
      </w:r>
      <w:r w:rsidR="00D94DEC" w:rsidRPr="008D5389">
        <w:t xml:space="preserve"> that then moves into the Housing Revenue Account</w:t>
      </w:r>
      <w:r w:rsidR="00E45D7B" w:rsidRPr="008D5389">
        <w:t xml:space="preserve"> (HRA)</w:t>
      </w:r>
      <w:r w:rsidR="00D94DEC" w:rsidRPr="008D5389">
        <w:t xml:space="preserve"> as social housing. </w:t>
      </w:r>
      <w:r w:rsidR="0034389C" w:rsidRPr="008D5389">
        <w:t xml:space="preserve">This accommodation must be used </w:t>
      </w:r>
      <w:r w:rsidR="00D94DEC" w:rsidRPr="008D5389">
        <w:t xml:space="preserve">as temporary accommodation (TA) </w:t>
      </w:r>
      <w:r w:rsidR="0034389C" w:rsidRPr="008D5389">
        <w:t>wh</w:t>
      </w:r>
      <w:r w:rsidR="00E45D7B" w:rsidRPr="008D5389">
        <w:t>ile</w:t>
      </w:r>
      <w:r w:rsidR="0034389C" w:rsidRPr="008D5389">
        <w:t xml:space="preserve"> it is held in the G</w:t>
      </w:r>
      <w:r w:rsidR="00A164AC" w:rsidRPr="008D5389">
        <w:t>F</w:t>
      </w:r>
      <w:r w:rsidR="00D94DEC" w:rsidRPr="008D5389">
        <w:t xml:space="preserve">. </w:t>
      </w:r>
    </w:p>
    <w:p w14:paraId="31E5BE95" w14:textId="5B58B77B" w:rsidR="00E45D7B" w:rsidRPr="008D5389" w:rsidRDefault="00E45D7B" w:rsidP="00D80CC8">
      <w:pPr>
        <w:pStyle w:val="Default"/>
        <w:spacing w:after="14"/>
        <w:jc w:val="both"/>
      </w:pPr>
    </w:p>
    <w:p w14:paraId="43FADDED" w14:textId="3993AFDA" w:rsidR="00D94DEC" w:rsidRPr="008D5389" w:rsidRDefault="00E45D7B" w:rsidP="00D80CC8">
      <w:pPr>
        <w:pStyle w:val="Default"/>
        <w:spacing w:after="14"/>
        <w:jc w:val="both"/>
      </w:pPr>
      <w:r w:rsidRPr="008D5389">
        <w:t>We propose to a</w:t>
      </w:r>
      <w:r w:rsidR="00D94DEC" w:rsidRPr="008D5389">
        <w:t xml:space="preserve">llow </w:t>
      </w:r>
      <w:r w:rsidR="00DC5801">
        <w:t xml:space="preserve">those </w:t>
      </w:r>
      <w:r w:rsidR="00D94DEC" w:rsidRPr="008D5389">
        <w:t>current</w:t>
      </w:r>
      <w:r w:rsidR="00A00B64">
        <w:t>ly in this type of</w:t>
      </w:r>
      <w:r w:rsidR="00D94DEC" w:rsidRPr="008D5389">
        <w:t xml:space="preserve"> temporary </w:t>
      </w:r>
      <w:r w:rsidR="00A00B64">
        <w:t>accommodation</w:t>
      </w:r>
      <w:r w:rsidR="00D94DEC" w:rsidRPr="008D5389">
        <w:t xml:space="preserve"> to be offered a secure tenancy of the property they occupy when it moves from the G</w:t>
      </w:r>
      <w:r w:rsidR="00A164AC" w:rsidRPr="008D5389">
        <w:t>F</w:t>
      </w:r>
      <w:r w:rsidR="00D94DEC" w:rsidRPr="008D5389">
        <w:t xml:space="preserve"> into the HRA and can be let as social housing (e.g. </w:t>
      </w:r>
      <w:r w:rsidR="0011058A" w:rsidRPr="008D5389">
        <w:t xml:space="preserve">72 properties at the </w:t>
      </w:r>
      <w:r w:rsidR="00D94DEC" w:rsidRPr="008D5389">
        <w:t xml:space="preserve">Gayton Road scheme). </w:t>
      </w:r>
    </w:p>
    <w:p w14:paraId="1FB04060" w14:textId="47A268DC" w:rsidR="00A164AC" w:rsidRPr="008D5389" w:rsidRDefault="00A164AC" w:rsidP="00D80CC8">
      <w:pPr>
        <w:pStyle w:val="Default"/>
        <w:spacing w:after="14"/>
        <w:jc w:val="both"/>
      </w:pPr>
    </w:p>
    <w:p w14:paraId="5733B49D" w14:textId="77777777" w:rsidR="000524E6" w:rsidRDefault="00A164AC" w:rsidP="00DD21B4">
      <w:pPr>
        <w:jc w:val="both"/>
        <w:rPr>
          <w:rFonts w:cs="Arial"/>
          <w:color w:val="FF0000"/>
          <w:sz w:val="20"/>
          <w:lang w:eastAsia="en-GB"/>
        </w:rPr>
      </w:pPr>
      <w:r w:rsidRPr="008D5389">
        <w:t>This will be s</w:t>
      </w:r>
      <w:r w:rsidR="00D94DEC" w:rsidRPr="008D5389">
        <w:t xml:space="preserve">ubject to suitability of the property and there being no recent tenancy issues such as arrears or ASB. </w:t>
      </w:r>
      <w:r w:rsidR="000524E6" w:rsidRPr="00807EA9">
        <w:t xml:space="preserve">Eligibility, suitability and occupancy checks will be made before granting a secure tenancy, as well as </w:t>
      </w:r>
      <w:proofErr w:type="gramStart"/>
      <w:r w:rsidR="000524E6" w:rsidRPr="00807EA9">
        <w:t>confirming  a</w:t>
      </w:r>
      <w:proofErr w:type="gramEnd"/>
      <w:r w:rsidR="000524E6" w:rsidRPr="00807EA9">
        <w:t xml:space="preserve"> continuing homelessness duty. </w:t>
      </w:r>
    </w:p>
    <w:p w14:paraId="0A20A285" w14:textId="75A4D14F" w:rsidR="00D94DEC" w:rsidRPr="008D5389" w:rsidRDefault="00D94DEC" w:rsidP="00DD21B4">
      <w:pPr>
        <w:pStyle w:val="Default"/>
        <w:spacing w:after="14"/>
        <w:jc w:val="both"/>
      </w:pPr>
    </w:p>
    <w:p w14:paraId="21077E7E" w14:textId="77777777" w:rsidR="00D94DEC" w:rsidRPr="008D5389" w:rsidRDefault="00D94DEC" w:rsidP="00D80CC8">
      <w:pPr>
        <w:pStyle w:val="Default"/>
        <w:jc w:val="both"/>
      </w:pPr>
    </w:p>
    <w:p w14:paraId="378C67C3" w14:textId="3E329482" w:rsidR="00D94DEC" w:rsidRPr="00DD21B4" w:rsidRDefault="00D94DEC" w:rsidP="00D95BC4">
      <w:pPr>
        <w:pStyle w:val="Default"/>
        <w:numPr>
          <w:ilvl w:val="0"/>
          <w:numId w:val="10"/>
        </w:numPr>
        <w:jc w:val="both"/>
        <w:rPr>
          <w:b/>
        </w:rPr>
      </w:pPr>
      <w:r w:rsidRPr="00DD21B4">
        <w:rPr>
          <w:b/>
        </w:rPr>
        <w:lastRenderedPageBreak/>
        <w:t xml:space="preserve">Local Lettings Plans </w:t>
      </w:r>
    </w:p>
    <w:p w14:paraId="20758254" w14:textId="77777777" w:rsidR="00D94DEC" w:rsidRPr="008D5389" w:rsidRDefault="00D94DEC" w:rsidP="00D80CC8">
      <w:pPr>
        <w:pStyle w:val="Default"/>
        <w:jc w:val="both"/>
      </w:pPr>
    </w:p>
    <w:p w14:paraId="4D8E0C92" w14:textId="7928D3BE" w:rsidR="00D94DEC" w:rsidRPr="008D5389" w:rsidRDefault="00202C66" w:rsidP="00D80CC8">
      <w:pPr>
        <w:pStyle w:val="Default"/>
        <w:jc w:val="both"/>
      </w:pPr>
      <w:r w:rsidRPr="008D5389">
        <w:t xml:space="preserve">The current Housing Allocation Scheme </w:t>
      </w:r>
      <w:r w:rsidR="00D94DEC" w:rsidRPr="008D5389">
        <w:t xml:space="preserve">allows an agreement between </w:t>
      </w:r>
      <w:r w:rsidR="00F67035">
        <w:t xml:space="preserve">Harrow Council’s </w:t>
      </w:r>
      <w:r w:rsidR="00D94DEC" w:rsidRPr="008D5389">
        <w:t xml:space="preserve">Housing Services and a </w:t>
      </w:r>
      <w:r w:rsidR="0003287C">
        <w:t>registered</w:t>
      </w:r>
      <w:r w:rsidR="00D94DEC" w:rsidRPr="008D5389">
        <w:t xml:space="preserve"> provider</w:t>
      </w:r>
      <w:r w:rsidR="0003287C">
        <w:t xml:space="preserve"> (housing association)</w:t>
      </w:r>
      <w:r w:rsidR="00626F7D" w:rsidRPr="008D5389">
        <w:t xml:space="preserve"> called a Local Lettings Plan</w:t>
      </w:r>
      <w:r w:rsidR="00D94DEC" w:rsidRPr="008D5389">
        <w:t>.</w:t>
      </w:r>
      <w:r w:rsidR="00626F7D" w:rsidRPr="008D5389">
        <w:t xml:space="preserve"> This s</w:t>
      </w:r>
      <w:r w:rsidR="00D94DEC" w:rsidRPr="008D5389">
        <w:t xml:space="preserve">ets out how properties will be allocated in exceptional circumstances to meet area specific issues, for a specific block or estate. </w:t>
      </w:r>
    </w:p>
    <w:p w14:paraId="47155809" w14:textId="18DF30CF" w:rsidR="00626F7D" w:rsidRPr="008D5389" w:rsidRDefault="00626F7D" w:rsidP="00D80CC8">
      <w:pPr>
        <w:pStyle w:val="Default"/>
        <w:jc w:val="both"/>
      </w:pPr>
    </w:p>
    <w:p w14:paraId="3491D77A" w14:textId="14EFCF9D" w:rsidR="00626F7D" w:rsidRPr="008D5389" w:rsidRDefault="00626F7D" w:rsidP="00D80CC8">
      <w:pPr>
        <w:pStyle w:val="Default"/>
        <w:jc w:val="both"/>
      </w:pPr>
      <w:r w:rsidRPr="008D5389">
        <w:t>We propose to a</w:t>
      </w:r>
      <w:r w:rsidR="00D94DEC" w:rsidRPr="008D5389">
        <w:t xml:space="preserve">llow Housing Services to implement a Local Lettings Plan for its own </w:t>
      </w:r>
      <w:r w:rsidR="00F67035">
        <w:t xml:space="preserve">council </w:t>
      </w:r>
      <w:r w:rsidR="00D94DEC" w:rsidRPr="008D5389">
        <w:t>housing stock</w:t>
      </w:r>
      <w:r w:rsidR="00D94DEC" w:rsidRPr="00807EA9">
        <w:t xml:space="preserve">, with delegated authority for the </w:t>
      </w:r>
      <w:r w:rsidR="000524E6" w:rsidRPr="00807EA9">
        <w:t xml:space="preserve">Divisional Director for Housing in consultation with the </w:t>
      </w:r>
      <w:r w:rsidR="00D94DEC" w:rsidRPr="00807EA9">
        <w:t>Portfolio Holder</w:t>
      </w:r>
      <w:r w:rsidR="00646B2C" w:rsidRPr="00807EA9">
        <w:t xml:space="preserve"> for Housing</w:t>
      </w:r>
      <w:r w:rsidR="00D94DEC" w:rsidRPr="00807EA9">
        <w:t xml:space="preserve"> to authorise a Local Lettings Plans</w:t>
      </w:r>
      <w:r w:rsidR="000524E6" w:rsidRPr="00807EA9">
        <w:t>.</w:t>
      </w:r>
    </w:p>
    <w:p w14:paraId="6C630B98" w14:textId="3FDDA1B8" w:rsidR="00D94DEC" w:rsidRPr="008D5389" w:rsidRDefault="00D94DEC" w:rsidP="00D80CC8">
      <w:pPr>
        <w:pStyle w:val="Default"/>
        <w:jc w:val="both"/>
      </w:pPr>
      <w:r w:rsidRPr="008D5389">
        <w:t xml:space="preserve"> </w:t>
      </w:r>
    </w:p>
    <w:p w14:paraId="2EC0B052" w14:textId="6901615B" w:rsidR="00D94DEC" w:rsidRPr="008D5389" w:rsidRDefault="005334B8" w:rsidP="00D80CC8">
      <w:pPr>
        <w:pStyle w:val="Default"/>
        <w:jc w:val="both"/>
      </w:pPr>
      <w:r w:rsidRPr="008D5389">
        <w:t>The p</w:t>
      </w:r>
      <w:r w:rsidR="00D94DEC" w:rsidRPr="008D5389">
        <w:t xml:space="preserve">urpose is to have a planned approach to the letting of high density/high rise schemes to ensure sustainable mixed and balanced communities. </w:t>
      </w:r>
    </w:p>
    <w:p w14:paraId="3138F50F" w14:textId="77777777" w:rsidR="00D94DEC" w:rsidRPr="008D5389" w:rsidRDefault="00D94DEC" w:rsidP="00D80CC8">
      <w:pPr>
        <w:pStyle w:val="Default"/>
        <w:jc w:val="both"/>
      </w:pPr>
    </w:p>
    <w:p w14:paraId="711E0DEC" w14:textId="31E341A4" w:rsidR="00D94DEC" w:rsidRPr="00315EC8" w:rsidRDefault="00D94DEC" w:rsidP="00D95BC4">
      <w:pPr>
        <w:pStyle w:val="Default"/>
        <w:numPr>
          <w:ilvl w:val="0"/>
          <w:numId w:val="10"/>
        </w:numPr>
        <w:jc w:val="both"/>
      </w:pPr>
      <w:r w:rsidRPr="00315EC8">
        <w:t xml:space="preserve">Over 50s Blocks </w:t>
      </w:r>
    </w:p>
    <w:p w14:paraId="29090FE5" w14:textId="77777777" w:rsidR="00D94DEC" w:rsidRPr="008D5389" w:rsidRDefault="00D94DEC" w:rsidP="00D80CC8">
      <w:pPr>
        <w:pStyle w:val="Default"/>
        <w:jc w:val="both"/>
      </w:pPr>
    </w:p>
    <w:p w14:paraId="1D57251F" w14:textId="31B964D7" w:rsidR="00D94DEC" w:rsidRPr="008D5389" w:rsidRDefault="00D94DEC" w:rsidP="00D80CC8">
      <w:pPr>
        <w:pStyle w:val="Default"/>
        <w:spacing w:after="15"/>
        <w:jc w:val="both"/>
      </w:pPr>
      <w:r w:rsidRPr="008D5389">
        <w:t>Some properties were previously designated for people aged 50 years and over</w:t>
      </w:r>
      <w:r w:rsidR="0059460E" w:rsidRPr="008D5389">
        <w:t xml:space="preserve"> but o</w:t>
      </w:r>
      <w:r w:rsidRPr="008D5389">
        <w:t xml:space="preserve">ver time </w:t>
      </w:r>
      <w:r w:rsidR="000E7C2C" w:rsidRPr="008D5389">
        <w:t>the age mix has changed</w:t>
      </w:r>
      <w:r w:rsidR="000E7C2C">
        <w:t xml:space="preserve">, such as </w:t>
      </w:r>
      <w:r w:rsidRPr="008D5389">
        <w:t xml:space="preserve">through the Right </w:t>
      </w:r>
      <w:r w:rsidR="0059460E" w:rsidRPr="008D5389">
        <w:t>t</w:t>
      </w:r>
      <w:r w:rsidRPr="008D5389">
        <w:t>o Buy. We propos</w:t>
      </w:r>
      <w:r w:rsidR="0059460E" w:rsidRPr="008D5389">
        <w:t>e</w:t>
      </w:r>
      <w:r w:rsidRPr="008D5389">
        <w:t xml:space="preserve"> to end these types of allocations as the blocks are no longer occupied only by over 50s and there is no reason to prioritise this group. </w:t>
      </w:r>
    </w:p>
    <w:p w14:paraId="3E6AEBC5" w14:textId="77777777" w:rsidR="00E1270B" w:rsidRDefault="00E1270B" w:rsidP="00D80CC8">
      <w:pPr>
        <w:pStyle w:val="Default"/>
        <w:spacing w:after="14"/>
        <w:jc w:val="both"/>
      </w:pPr>
    </w:p>
    <w:p w14:paraId="281E303E" w14:textId="39764232" w:rsidR="00434057" w:rsidRPr="00E1270B" w:rsidRDefault="00D94DEC" w:rsidP="00D95BC4">
      <w:pPr>
        <w:pStyle w:val="Default"/>
        <w:numPr>
          <w:ilvl w:val="0"/>
          <w:numId w:val="10"/>
        </w:numPr>
        <w:spacing w:after="14"/>
        <w:jc w:val="both"/>
      </w:pPr>
      <w:r w:rsidRPr="00E1270B">
        <w:t xml:space="preserve">Local Residence Criteria </w:t>
      </w:r>
    </w:p>
    <w:p w14:paraId="378060E5" w14:textId="77777777" w:rsidR="00434057" w:rsidRPr="008D5389" w:rsidRDefault="00434057" w:rsidP="00D80CC8">
      <w:pPr>
        <w:pStyle w:val="Default"/>
        <w:spacing w:after="14"/>
        <w:jc w:val="both"/>
        <w:rPr>
          <w:b/>
          <w:bCs/>
        </w:rPr>
      </w:pPr>
    </w:p>
    <w:p w14:paraId="79AE05CA" w14:textId="71CE0021" w:rsidR="00434057" w:rsidRDefault="00434057" w:rsidP="00D80CC8">
      <w:pPr>
        <w:pStyle w:val="Default"/>
        <w:jc w:val="both"/>
      </w:pPr>
      <w:r w:rsidRPr="008D5389">
        <w:t xml:space="preserve">The Local Residence criteria will be removed for </w:t>
      </w:r>
      <w:r w:rsidR="00A323BC">
        <w:t>those that fall in either of the categories listed below:</w:t>
      </w:r>
      <w:r w:rsidRPr="008D5389">
        <w:t xml:space="preserve"> </w:t>
      </w:r>
    </w:p>
    <w:p w14:paraId="322D5765" w14:textId="77777777" w:rsidR="00564E93" w:rsidRPr="008D5389" w:rsidRDefault="00564E93" w:rsidP="00D80CC8">
      <w:pPr>
        <w:pStyle w:val="Default"/>
        <w:jc w:val="both"/>
      </w:pPr>
    </w:p>
    <w:p w14:paraId="7FD2B75A" w14:textId="6473C379" w:rsidR="00D94DEC" w:rsidRPr="008D5389" w:rsidRDefault="001355D0" w:rsidP="00D95BC4">
      <w:pPr>
        <w:pStyle w:val="Default"/>
        <w:numPr>
          <w:ilvl w:val="0"/>
          <w:numId w:val="11"/>
        </w:numPr>
        <w:spacing w:after="14"/>
        <w:jc w:val="both"/>
      </w:pPr>
      <w:r>
        <w:t>a</w:t>
      </w:r>
      <w:r w:rsidR="00A323BC">
        <w:t xml:space="preserve">pplicants that need to move </w:t>
      </w:r>
      <w:r w:rsidR="00B84878">
        <w:t>b</w:t>
      </w:r>
      <w:r w:rsidR="00B84878" w:rsidRPr="008D5389">
        <w:t>ecause</w:t>
      </w:r>
      <w:r w:rsidR="00D94DEC" w:rsidRPr="008D5389">
        <w:t xml:space="preserve"> </w:t>
      </w:r>
      <w:r w:rsidR="00DC6B77">
        <w:t xml:space="preserve">they are the victim </w:t>
      </w:r>
      <w:r w:rsidR="00D94DEC" w:rsidRPr="008D5389">
        <w:t>of domestic abuse</w:t>
      </w:r>
      <w:r w:rsidR="00564E93">
        <w:t xml:space="preserve">; </w:t>
      </w:r>
      <w:r w:rsidR="00DC6B77">
        <w:t>or</w:t>
      </w:r>
      <w:r w:rsidR="00D94DEC" w:rsidRPr="008D5389">
        <w:t xml:space="preserve"> </w:t>
      </w:r>
    </w:p>
    <w:p w14:paraId="51D0FA12" w14:textId="4103EAFB" w:rsidR="00D94DEC" w:rsidRPr="008D5389" w:rsidRDefault="001355D0" w:rsidP="00D95BC4">
      <w:pPr>
        <w:pStyle w:val="Default"/>
        <w:numPr>
          <w:ilvl w:val="0"/>
          <w:numId w:val="11"/>
        </w:numPr>
        <w:jc w:val="both"/>
      </w:pPr>
      <w:r>
        <w:t xml:space="preserve">applicants </w:t>
      </w:r>
      <w:r w:rsidR="00D94DEC" w:rsidRPr="008D5389">
        <w:t xml:space="preserve">who are </w:t>
      </w:r>
      <w:r w:rsidR="00DC6B77">
        <w:t>T</w:t>
      </w:r>
      <w:r w:rsidR="00D94DEC" w:rsidRPr="008D5389">
        <w:t xml:space="preserve">ravellers. </w:t>
      </w:r>
    </w:p>
    <w:p w14:paraId="5916607A" w14:textId="3ABEC869" w:rsidR="00D94DEC" w:rsidRPr="008D5389" w:rsidRDefault="00D94DEC" w:rsidP="00D80CC8">
      <w:pPr>
        <w:pStyle w:val="Default"/>
        <w:jc w:val="both"/>
      </w:pPr>
    </w:p>
    <w:p w14:paraId="3D93282D" w14:textId="409E665F" w:rsidR="00C36571" w:rsidRPr="008D5389" w:rsidRDefault="00C36571" w:rsidP="00D80CC8">
      <w:pPr>
        <w:jc w:val="both"/>
        <w:rPr>
          <w:szCs w:val="24"/>
        </w:rPr>
      </w:pPr>
      <w:r w:rsidRPr="008D5389">
        <w:rPr>
          <w:szCs w:val="24"/>
        </w:rPr>
        <w:t xml:space="preserve">The requirement for this amendment in respect of </w:t>
      </w:r>
      <w:r w:rsidR="009224DB" w:rsidRPr="008D5389">
        <w:rPr>
          <w:szCs w:val="24"/>
        </w:rPr>
        <w:t xml:space="preserve">applicants who are </w:t>
      </w:r>
      <w:r w:rsidRPr="008D5389">
        <w:rPr>
          <w:szCs w:val="24"/>
        </w:rPr>
        <w:t>victims of domestic abuse is contained in statutory guidance.</w:t>
      </w:r>
    </w:p>
    <w:p w14:paraId="5179244F" w14:textId="77777777" w:rsidR="00C36571" w:rsidRPr="008D5389" w:rsidRDefault="00C36571" w:rsidP="00D80CC8">
      <w:pPr>
        <w:jc w:val="both"/>
        <w:rPr>
          <w:color w:val="0000FF"/>
          <w:szCs w:val="24"/>
        </w:rPr>
      </w:pPr>
    </w:p>
    <w:p w14:paraId="2F72BBFF" w14:textId="77777777" w:rsidR="00C36571" w:rsidRPr="008D5389" w:rsidRDefault="00C36571" w:rsidP="00D80CC8">
      <w:pPr>
        <w:jc w:val="both"/>
        <w:rPr>
          <w:szCs w:val="24"/>
        </w:rPr>
      </w:pPr>
      <w:r w:rsidRPr="008D5389">
        <w:rPr>
          <w:szCs w:val="24"/>
        </w:rPr>
        <w:t>‘Improving access to social housing for victims of domestic abuse in refuges or other types of temporary accommodation’ published by MHCLG in November 2018 states in paragraph 19:</w:t>
      </w:r>
    </w:p>
    <w:p w14:paraId="5FA3028C" w14:textId="77777777" w:rsidR="00C36571" w:rsidRPr="008D5389" w:rsidRDefault="00C36571" w:rsidP="00D80CC8">
      <w:pPr>
        <w:jc w:val="both"/>
        <w:rPr>
          <w:color w:val="0000FF"/>
          <w:szCs w:val="24"/>
        </w:rPr>
      </w:pPr>
    </w:p>
    <w:p w14:paraId="0BA597B1" w14:textId="77777777" w:rsidR="00C36571" w:rsidRPr="008D5389" w:rsidRDefault="00C36571" w:rsidP="00D80CC8">
      <w:pPr>
        <w:jc w:val="both"/>
        <w:rPr>
          <w:i/>
          <w:szCs w:val="24"/>
        </w:rPr>
      </w:pPr>
      <w:r w:rsidRPr="008D5389">
        <w:rPr>
          <w:i/>
          <w:szCs w:val="24"/>
        </w:rPr>
        <w:t>Many people escaping domestic abuse may seek a place of safety in a refuge or other form of temporary accommodation before they apply for social housing, which may be in a different part of the country to their original home. This may be for a number of reasons: victims may need to put a safe distance between themselves and their abuser; they may want to be closer to their family and support network; and in some cases the choice of where they live may be constrained by the refuge spaces that are available. The Secretary of State therefore strongly encourages all local authorities to exempt from their residency requirements those who are living in a refuge or other form of safe temporary accommodation in their district having escaped domestic abuse in another local authority area.</w:t>
      </w:r>
    </w:p>
    <w:p w14:paraId="441B349E" w14:textId="62BE6E62" w:rsidR="00C36571" w:rsidRPr="008D5389" w:rsidRDefault="00C36571" w:rsidP="00D80CC8">
      <w:pPr>
        <w:pStyle w:val="Default"/>
        <w:jc w:val="both"/>
      </w:pPr>
    </w:p>
    <w:p w14:paraId="6D72AA5C" w14:textId="7EBB9839" w:rsidR="009224DB" w:rsidRPr="008D5389" w:rsidRDefault="009224DB" w:rsidP="00D80CC8">
      <w:pPr>
        <w:jc w:val="both"/>
        <w:rPr>
          <w:szCs w:val="24"/>
        </w:rPr>
      </w:pPr>
      <w:r w:rsidRPr="008D5389">
        <w:rPr>
          <w:szCs w:val="24"/>
        </w:rPr>
        <w:lastRenderedPageBreak/>
        <w:t xml:space="preserve">The amendment in respect of applicants who are </w:t>
      </w:r>
      <w:r w:rsidR="00DC6B77">
        <w:rPr>
          <w:szCs w:val="24"/>
        </w:rPr>
        <w:t>T</w:t>
      </w:r>
      <w:r w:rsidRPr="008D5389">
        <w:rPr>
          <w:szCs w:val="24"/>
        </w:rPr>
        <w:t xml:space="preserve">ravellers arises out of a case brought against the London Borough of Hillingdon (and subsequent appeal) </w:t>
      </w:r>
      <w:r w:rsidRPr="008D5389">
        <w:rPr>
          <w:rFonts w:cs="Arial"/>
          <w:szCs w:val="24"/>
          <w:lang w:val="en" w:eastAsia="en-GB"/>
        </w:rPr>
        <w:t>as Hillingdon Council’s Allocations Policy required households wanting to join their housing register to have been living in the borough continuously for at least ten years. This was successfully challenged by three claimants who were Irish Travellers, on the basis that it indirectly discriminated against nomadic Gypsy and Traveller communities and this had not been justified.</w:t>
      </w:r>
      <w:r w:rsidRPr="008D5389">
        <w:rPr>
          <w:szCs w:val="24"/>
        </w:rPr>
        <w:t xml:space="preserve"> </w:t>
      </w:r>
    </w:p>
    <w:p w14:paraId="6DE5A4D4" w14:textId="77777777" w:rsidR="009224DB" w:rsidRPr="00DC6B77" w:rsidRDefault="009224DB" w:rsidP="00D80CC8">
      <w:pPr>
        <w:pStyle w:val="Default"/>
        <w:jc w:val="both"/>
        <w:rPr>
          <w:color w:val="auto"/>
        </w:rPr>
      </w:pPr>
    </w:p>
    <w:p w14:paraId="3FA4A12C" w14:textId="431A46F3" w:rsidR="00D94DEC" w:rsidRPr="00E1270B" w:rsidRDefault="00D94DEC" w:rsidP="00D95BC4">
      <w:pPr>
        <w:pStyle w:val="Default"/>
        <w:numPr>
          <w:ilvl w:val="0"/>
          <w:numId w:val="10"/>
        </w:numPr>
        <w:jc w:val="both"/>
      </w:pPr>
      <w:r w:rsidRPr="00E1270B">
        <w:t xml:space="preserve">Applicants accepted homeless by another council </w:t>
      </w:r>
    </w:p>
    <w:p w14:paraId="25F9A20C" w14:textId="77777777" w:rsidR="008A254C" w:rsidRPr="00DC6B77" w:rsidRDefault="008A254C" w:rsidP="00D80CC8">
      <w:pPr>
        <w:pStyle w:val="Default"/>
        <w:spacing w:after="14"/>
        <w:jc w:val="both"/>
      </w:pPr>
    </w:p>
    <w:p w14:paraId="7F1CC448" w14:textId="3638C2C0" w:rsidR="00D94DEC" w:rsidRPr="00DC6B77" w:rsidRDefault="008A254C" w:rsidP="00D80CC8">
      <w:pPr>
        <w:pStyle w:val="Default"/>
        <w:spacing w:after="14"/>
        <w:jc w:val="both"/>
      </w:pPr>
      <w:r w:rsidRPr="00DC6B77">
        <w:t>Currently t</w:t>
      </w:r>
      <w:r w:rsidR="00D94DEC" w:rsidRPr="00DC6B77">
        <w:t xml:space="preserve">here is an anomaly in the </w:t>
      </w:r>
      <w:r w:rsidRPr="00DC6B77">
        <w:t xml:space="preserve">Housing Allocation Scheme </w:t>
      </w:r>
      <w:r w:rsidR="00D94DEC" w:rsidRPr="00DC6B77">
        <w:t xml:space="preserve">where applicants accepted as homeless by another council are given higher priority than those accepted as homeless by Harrow Council. We propose that this be corrected and that they </w:t>
      </w:r>
      <w:r w:rsidR="00C833CE" w:rsidRPr="00DC6B77">
        <w:t xml:space="preserve">also </w:t>
      </w:r>
      <w:r w:rsidR="00D94DEC" w:rsidRPr="00DC6B77">
        <w:t xml:space="preserve">be awarded Band C. </w:t>
      </w:r>
    </w:p>
    <w:p w14:paraId="21CD23E7" w14:textId="74EBDB2B" w:rsidR="00D94DEC" w:rsidRPr="00DC6B77" w:rsidRDefault="00D94DEC" w:rsidP="00D80CC8">
      <w:pPr>
        <w:jc w:val="both"/>
        <w:rPr>
          <w:rFonts w:cs="Arial"/>
          <w:color w:val="0000FF"/>
          <w:szCs w:val="24"/>
        </w:rPr>
      </w:pPr>
    </w:p>
    <w:p w14:paraId="1A15F005" w14:textId="3DAB5D53" w:rsidR="004A2136" w:rsidRPr="00DC6B77" w:rsidRDefault="009F285D" w:rsidP="00D80CC8">
      <w:pPr>
        <w:jc w:val="both"/>
        <w:rPr>
          <w:rFonts w:cs="Arial"/>
          <w:b/>
          <w:bCs/>
          <w:szCs w:val="24"/>
        </w:rPr>
      </w:pPr>
      <w:r w:rsidRPr="00DC6B77">
        <w:rPr>
          <w:rFonts w:cs="Arial"/>
          <w:b/>
          <w:bCs/>
          <w:szCs w:val="24"/>
        </w:rPr>
        <w:t>5.2</w:t>
      </w:r>
      <w:r w:rsidRPr="00DC6B77">
        <w:rPr>
          <w:rFonts w:cs="Arial"/>
          <w:b/>
          <w:bCs/>
          <w:szCs w:val="24"/>
        </w:rPr>
        <w:tab/>
      </w:r>
      <w:r w:rsidR="004A2136" w:rsidRPr="00DC6B77">
        <w:rPr>
          <w:rFonts w:cs="Arial"/>
          <w:b/>
          <w:bCs/>
          <w:szCs w:val="24"/>
        </w:rPr>
        <w:t>Proposed Changes to the Tenancy Strategy and the Tenancy Policy</w:t>
      </w:r>
    </w:p>
    <w:p w14:paraId="56A5AF5B" w14:textId="77777777" w:rsidR="004A2136" w:rsidRPr="00DC6B77" w:rsidRDefault="004A2136" w:rsidP="00D80CC8">
      <w:pPr>
        <w:jc w:val="both"/>
        <w:rPr>
          <w:rFonts w:cs="Arial"/>
          <w:szCs w:val="24"/>
        </w:rPr>
      </w:pPr>
    </w:p>
    <w:p w14:paraId="4A9A6A3A" w14:textId="10D20F1A" w:rsidR="00EB3AF5" w:rsidRPr="00564E93" w:rsidRDefault="00EB3AF5" w:rsidP="00D80CC8">
      <w:pPr>
        <w:jc w:val="both"/>
        <w:rPr>
          <w:b/>
          <w:szCs w:val="24"/>
        </w:rPr>
      </w:pPr>
      <w:r w:rsidRPr="00564E93">
        <w:rPr>
          <w:b/>
          <w:szCs w:val="24"/>
        </w:rPr>
        <w:t>5.2.1</w:t>
      </w:r>
      <w:r w:rsidRPr="00564E93">
        <w:rPr>
          <w:b/>
          <w:szCs w:val="24"/>
        </w:rPr>
        <w:tab/>
        <w:t>Combining the Strategy and Policy</w:t>
      </w:r>
    </w:p>
    <w:p w14:paraId="4FF8018E" w14:textId="77777777" w:rsidR="00EB3AF5" w:rsidRPr="00DC6B77" w:rsidRDefault="00EB3AF5" w:rsidP="00D80CC8">
      <w:pPr>
        <w:jc w:val="both"/>
        <w:rPr>
          <w:szCs w:val="24"/>
        </w:rPr>
      </w:pPr>
    </w:p>
    <w:p w14:paraId="2D451119" w14:textId="53269111" w:rsidR="004A2136" w:rsidRPr="00DC6B77" w:rsidRDefault="004A2136" w:rsidP="00D80CC8">
      <w:pPr>
        <w:jc w:val="both"/>
        <w:rPr>
          <w:szCs w:val="24"/>
        </w:rPr>
      </w:pPr>
      <w:r w:rsidRPr="00DC6B77">
        <w:rPr>
          <w:szCs w:val="24"/>
        </w:rPr>
        <w:t xml:space="preserve">The Tenancy Strategy and Tenancy Policy are currently separate documents and we propose to combine them into one </w:t>
      </w:r>
      <w:r w:rsidR="007D5683">
        <w:rPr>
          <w:szCs w:val="24"/>
        </w:rPr>
        <w:t xml:space="preserve">document that will be known as </w:t>
      </w:r>
      <w:r w:rsidR="00564E93">
        <w:rPr>
          <w:szCs w:val="24"/>
        </w:rPr>
        <w:t>“T</w:t>
      </w:r>
      <w:r w:rsidR="003176E4">
        <w:rPr>
          <w:szCs w:val="24"/>
        </w:rPr>
        <w:t xml:space="preserve">he </w:t>
      </w:r>
      <w:r w:rsidRPr="00DC6B77">
        <w:rPr>
          <w:szCs w:val="24"/>
        </w:rPr>
        <w:t>Tenancy Strategy &amp; Policy.</w:t>
      </w:r>
      <w:r w:rsidR="00564E93">
        <w:rPr>
          <w:szCs w:val="24"/>
        </w:rPr>
        <w:t>”</w:t>
      </w:r>
    </w:p>
    <w:p w14:paraId="4DADBA28" w14:textId="77777777" w:rsidR="004A2136" w:rsidRPr="00DC6B77" w:rsidRDefault="004A2136" w:rsidP="00D80CC8">
      <w:pPr>
        <w:jc w:val="both"/>
        <w:rPr>
          <w:szCs w:val="24"/>
        </w:rPr>
      </w:pPr>
    </w:p>
    <w:p w14:paraId="32280725" w14:textId="19B43864" w:rsidR="001D50BE" w:rsidRPr="00564E93" w:rsidRDefault="001D50BE" w:rsidP="00D80CC8">
      <w:pPr>
        <w:contextualSpacing/>
        <w:jc w:val="both"/>
        <w:rPr>
          <w:rFonts w:cs="Arial"/>
          <w:b/>
        </w:rPr>
      </w:pPr>
      <w:r w:rsidRPr="00564E93">
        <w:rPr>
          <w:rFonts w:cs="Arial"/>
          <w:b/>
        </w:rPr>
        <w:t>5.2.</w:t>
      </w:r>
      <w:r w:rsidR="00EB3AF5" w:rsidRPr="00564E93">
        <w:rPr>
          <w:rFonts w:cs="Arial"/>
          <w:b/>
        </w:rPr>
        <w:t>2</w:t>
      </w:r>
      <w:r w:rsidRPr="00564E93">
        <w:rPr>
          <w:rFonts w:cs="Arial"/>
          <w:b/>
        </w:rPr>
        <w:tab/>
        <w:t>Succession</w:t>
      </w:r>
    </w:p>
    <w:p w14:paraId="60134210" w14:textId="0FDEF294" w:rsidR="00EB3AF5" w:rsidRDefault="00EB3AF5" w:rsidP="00D80CC8">
      <w:pPr>
        <w:contextualSpacing/>
        <w:jc w:val="both"/>
        <w:rPr>
          <w:rFonts w:cs="Arial"/>
        </w:rPr>
      </w:pPr>
    </w:p>
    <w:p w14:paraId="57DEFD34" w14:textId="7E9D463C" w:rsidR="0049326D" w:rsidRPr="0039069E" w:rsidRDefault="00EB3AF5" w:rsidP="00D80CC8">
      <w:pPr>
        <w:jc w:val="both"/>
        <w:rPr>
          <w:rFonts w:cs="Arial"/>
        </w:rPr>
      </w:pPr>
      <w:r w:rsidRPr="0039069E">
        <w:rPr>
          <w:rFonts w:cs="Arial"/>
        </w:rPr>
        <w:t>We consulted on</w:t>
      </w:r>
      <w:r>
        <w:rPr>
          <w:rFonts w:cs="Arial"/>
        </w:rPr>
        <w:t xml:space="preserve"> our approach to su</w:t>
      </w:r>
      <w:r w:rsidRPr="0039069E">
        <w:rPr>
          <w:rFonts w:cs="Arial"/>
        </w:rPr>
        <w:t>ccession</w:t>
      </w:r>
      <w:r>
        <w:rPr>
          <w:rFonts w:cs="Arial"/>
        </w:rPr>
        <w:t xml:space="preserve">, specifically </w:t>
      </w:r>
      <w:r w:rsidR="0049326D">
        <w:rPr>
          <w:rFonts w:cs="Arial"/>
        </w:rPr>
        <w:t xml:space="preserve">whether </w:t>
      </w:r>
      <w:r w:rsidR="0049326D" w:rsidRPr="0049326D">
        <w:rPr>
          <w:rFonts w:cs="Arial"/>
        </w:rPr>
        <w:t xml:space="preserve">we </w:t>
      </w:r>
      <w:r w:rsidR="0049326D">
        <w:rPr>
          <w:rFonts w:cs="Arial"/>
        </w:rPr>
        <w:t xml:space="preserve">should </w:t>
      </w:r>
      <w:r w:rsidR="0049326D" w:rsidRPr="0049326D">
        <w:rPr>
          <w:rFonts w:cs="Arial"/>
        </w:rPr>
        <w:t>continue to offer succession over and above what the law requires</w:t>
      </w:r>
      <w:r w:rsidR="001D50BE">
        <w:rPr>
          <w:rFonts w:cs="Arial"/>
        </w:rPr>
        <w:t xml:space="preserve"> for tenancies starting after 2012</w:t>
      </w:r>
      <w:r w:rsidR="0049326D">
        <w:rPr>
          <w:rFonts w:cs="Arial"/>
        </w:rPr>
        <w:t xml:space="preserve">, </w:t>
      </w:r>
      <w:r w:rsidR="0049326D" w:rsidRPr="0049326D">
        <w:rPr>
          <w:rFonts w:cs="Arial"/>
        </w:rPr>
        <w:t>to</w:t>
      </w:r>
      <w:r w:rsidR="0049326D">
        <w:rPr>
          <w:rFonts w:cs="Arial"/>
        </w:rPr>
        <w:t xml:space="preserve"> a</w:t>
      </w:r>
      <w:r w:rsidR="0049326D" w:rsidRPr="0039069E">
        <w:rPr>
          <w:rFonts w:cs="Arial"/>
        </w:rPr>
        <w:t xml:space="preserve"> family member living with the deceased tenant for at least 5 years before the date of death</w:t>
      </w:r>
      <w:r w:rsidR="00D05CF9">
        <w:rPr>
          <w:rFonts w:cs="Arial"/>
        </w:rPr>
        <w:t xml:space="preserve"> and </w:t>
      </w:r>
      <w:r w:rsidR="00770E75">
        <w:rPr>
          <w:rFonts w:cs="Arial"/>
        </w:rPr>
        <w:t xml:space="preserve">to </w:t>
      </w:r>
      <w:r w:rsidR="00D05CF9">
        <w:rPr>
          <w:rFonts w:cs="Arial"/>
        </w:rPr>
        <w:t>a</w:t>
      </w:r>
      <w:r w:rsidR="0049326D" w:rsidRPr="0039069E">
        <w:rPr>
          <w:rFonts w:cs="Arial"/>
        </w:rPr>
        <w:t xml:space="preserve"> live-in carer living with the tenant for 5 years and providing care for the deceased tenant for preceding 12 months and who gave up accommodation to provide care</w:t>
      </w:r>
      <w:r w:rsidR="004F7E97">
        <w:rPr>
          <w:rFonts w:cs="Arial"/>
        </w:rPr>
        <w:t>.</w:t>
      </w:r>
      <w:r w:rsidR="00770E75">
        <w:rPr>
          <w:rFonts w:cs="Arial"/>
        </w:rPr>
        <w:t xml:space="preserve"> The alternative would be for them </w:t>
      </w:r>
      <w:r w:rsidR="00782051">
        <w:rPr>
          <w:rFonts w:cs="Arial"/>
        </w:rPr>
        <w:t xml:space="preserve">to </w:t>
      </w:r>
      <w:r w:rsidR="0049326D" w:rsidRPr="0039069E">
        <w:rPr>
          <w:rFonts w:cs="Arial"/>
        </w:rPr>
        <w:t>make an application for a discretionary tenancy</w:t>
      </w:r>
      <w:r w:rsidR="00782051">
        <w:rPr>
          <w:rFonts w:cs="Arial"/>
        </w:rPr>
        <w:t>.</w:t>
      </w:r>
    </w:p>
    <w:p w14:paraId="44493E56" w14:textId="77777777" w:rsidR="004A2136" w:rsidRDefault="004A2136" w:rsidP="00D80CC8">
      <w:pPr>
        <w:jc w:val="both"/>
        <w:rPr>
          <w:rFonts w:cs="Arial"/>
          <w:sz w:val="22"/>
          <w:szCs w:val="22"/>
        </w:rPr>
      </w:pPr>
    </w:p>
    <w:p w14:paraId="48E94960" w14:textId="77777777" w:rsidR="004A2136" w:rsidRPr="00657D5E" w:rsidRDefault="004A2136" w:rsidP="00D80CC8">
      <w:pPr>
        <w:jc w:val="both"/>
        <w:rPr>
          <w:rFonts w:cs="Arial"/>
          <w:szCs w:val="24"/>
        </w:rPr>
      </w:pPr>
      <w:r w:rsidRPr="00657D5E">
        <w:rPr>
          <w:rFonts w:cs="Arial"/>
          <w:szCs w:val="24"/>
        </w:rPr>
        <w:t>The outcome of the consultation on our approach to succession was that there were mixed views and we will not propose any changes to our approach at this time.</w:t>
      </w:r>
    </w:p>
    <w:p w14:paraId="38B0C370" w14:textId="6CFA38EE" w:rsidR="004A2136" w:rsidRPr="00657D5E" w:rsidRDefault="004A2136" w:rsidP="00D80CC8">
      <w:pPr>
        <w:jc w:val="both"/>
        <w:rPr>
          <w:rFonts w:cs="Arial"/>
          <w:szCs w:val="24"/>
        </w:rPr>
      </w:pPr>
    </w:p>
    <w:p w14:paraId="2F77BED1" w14:textId="1B33785C" w:rsidR="001D50BE" w:rsidRPr="00564E93" w:rsidRDefault="001D50BE" w:rsidP="00D80CC8">
      <w:pPr>
        <w:jc w:val="both"/>
        <w:rPr>
          <w:rFonts w:cs="Arial"/>
          <w:b/>
        </w:rPr>
      </w:pPr>
      <w:r w:rsidRPr="00564E93">
        <w:rPr>
          <w:rFonts w:cs="Arial"/>
          <w:b/>
        </w:rPr>
        <w:t>5.2.</w:t>
      </w:r>
      <w:r w:rsidR="00EB3AF5" w:rsidRPr="00564E93">
        <w:rPr>
          <w:rFonts w:cs="Arial"/>
          <w:b/>
        </w:rPr>
        <w:t>3</w:t>
      </w:r>
      <w:r w:rsidRPr="00564E93">
        <w:rPr>
          <w:rFonts w:cs="Arial"/>
          <w:b/>
        </w:rPr>
        <w:tab/>
      </w:r>
      <w:r w:rsidR="00C93F4F" w:rsidRPr="00564E93">
        <w:rPr>
          <w:rFonts w:cs="Arial"/>
          <w:b/>
        </w:rPr>
        <w:t xml:space="preserve">Review and Renewal of </w:t>
      </w:r>
      <w:r w:rsidRPr="00564E93">
        <w:rPr>
          <w:rFonts w:cs="Arial"/>
          <w:b/>
        </w:rPr>
        <w:t>Flexible tenancies</w:t>
      </w:r>
    </w:p>
    <w:p w14:paraId="336291BC" w14:textId="77777777" w:rsidR="00EB3AF5" w:rsidRDefault="00EB3AF5" w:rsidP="00D80CC8">
      <w:pPr>
        <w:jc w:val="both"/>
        <w:rPr>
          <w:rFonts w:cs="Arial"/>
        </w:rPr>
      </w:pPr>
    </w:p>
    <w:p w14:paraId="2568A1CB" w14:textId="36395841" w:rsidR="00EB3AF5" w:rsidRDefault="00EB3AF5" w:rsidP="00D80CC8">
      <w:pPr>
        <w:jc w:val="both"/>
        <w:rPr>
          <w:rFonts w:cs="Arial"/>
        </w:rPr>
      </w:pPr>
      <w:r w:rsidRPr="0039069E">
        <w:rPr>
          <w:rFonts w:cs="Arial"/>
        </w:rPr>
        <w:t xml:space="preserve">We </w:t>
      </w:r>
      <w:r>
        <w:rPr>
          <w:rFonts w:cs="Arial"/>
        </w:rPr>
        <w:t xml:space="preserve">initially </w:t>
      </w:r>
      <w:r w:rsidRPr="0039069E">
        <w:rPr>
          <w:rFonts w:cs="Arial"/>
        </w:rPr>
        <w:t>consulted on</w:t>
      </w:r>
      <w:r>
        <w:rPr>
          <w:rFonts w:cs="Arial"/>
        </w:rPr>
        <w:t xml:space="preserve"> our approach to t</w:t>
      </w:r>
      <w:r w:rsidRPr="0039069E">
        <w:rPr>
          <w:rFonts w:cs="Arial"/>
        </w:rPr>
        <w:t>he review and renewal of flexible</w:t>
      </w:r>
      <w:r w:rsidR="002F2F6B">
        <w:rPr>
          <w:rFonts w:cs="Arial"/>
        </w:rPr>
        <w:t xml:space="preserve"> </w:t>
      </w:r>
      <w:r w:rsidRPr="0039069E">
        <w:rPr>
          <w:rFonts w:cs="Arial"/>
        </w:rPr>
        <w:t>fixed-term tenancies</w:t>
      </w:r>
      <w:r>
        <w:rPr>
          <w:rFonts w:cs="Arial"/>
        </w:rPr>
        <w:t>.</w:t>
      </w:r>
    </w:p>
    <w:p w14:paraId="7ABFA6A3" w14:textId="77777777" w:rsidR="00EB3AF5" w:rsidRDefault="00EB3AF5" w:rsidP="00D80CC8">
      <w:pPr>
        <w:jc w:val="both"/>
        <w:rPr>
          <w:rFonts w:cs="Arial"/>
        </w:rPr>
      </w:pPr>
    </w:p>
    <w:p w14:paraId="002CBBAB" w14:textId="24A749DD" w:rsidR="007B793B" w:rsidRPr="00113F21" w:rsidRDefault="007B793B" w:rsidP="00D80CC8">
      <w:pPr>
        <w:jc w:val="both"/>
        <w:rPr>
          <w:rFonts w:cs="Arial"/>
        </w:rPr>
      </w:pPr>
      <w:r w:rsidRPr="00113F21">
        <w:rPr>
          <w:rFonts w:cs="Arial"/>
        </w:rPr>
        <w:t xml:space="preserve">We </w:t>
      </w:r>
      <w:r w:rsidR="00C758CD">
        <w:rPr>
          <w:rFonts w:cs="Arial"/>
        </w:rPr>
        <w:t xml:space="preserve">currently </w:t>
      </w:r>
      <w:r w:rsidRPr="00113F21">
        <w:rPr>
          <w:rFonts w:cs="Arial"/>
        </w:rPr>
        <w:t xml:space="preserve">have </w:t>
      </w:r>
      <w:proofErr w:type="gramStart"/>
      <w:r w:rsidRPr="00113F21">
        <w:rPr>
          <w:rFonts w:cs="Arial"/>
        </w:rPr>
        <w:t>a number of</w:t>
      </w:r>
      <w:proofErr w:type="gramEnd"/>
      <w:r w:rsidRPr="00113F21">
        <w:rPr>
          <w:rFonts w:cs="Arial"/>
        </w:rPr>
        <w:t xml:space="preserve"> ‘automatic renewal’ categories, including:</w:t>
      </w:r>
    </w:p>
    <w:p w14:paraId="4F283136" w14:textId="77777777" w:rsidR="007B793B" w:rsidRPr="00113F21" w:rsidRDefault="007B793B" w:rsidP="00D95BC4">
      <w:pPr>
        <w:numPr>
          <w:ilvl w:val="0"/>
          <w:numId w:val="10"/>
        </w:numPr>
        <w:jc w:val="both"/>
        <w:rPr>
          <w:rFonts w:cs="Arial"/>
        </w:rPr>
      </w:pPr>
      <w:r w:rsidRPr="00113F21">
        <w:rPr>
          <w:rFonts w:cs="Arial"/>
        </w:rPr>
        <w:t>tenants or a member of the household with a disability and receiving qualifying disability benefits</w:t>
      </w:r>
    </w:p>
    <w:p w14:paraId="53F4D742" w14:textId="2B05F0EB" w:rsidR="007B793B" w:rsidRPr="00113F21" w:rsidRDefault="007B793B" w:rsidP="00D95BC4">
      <w:pPr>
        <w:numPr>
          <w:ilvl w:val="0"/>
          <w:numId w:val="10"/>
        </w:numPr>
        <w:jc w:val="both"/>
        <w:rPr>
          <w:rFonts w:cs="Arial"/>
        </w:rPr>
      </w:pPr>
      <w:r w:rsidRPr="00113F21">
        <w:rPr>
          <w:rFonts w:cs="Arial"/>
        </w:rPr>
        <w:t>tenants with a member of the household with a severe learning disability or enduring mental health needs confirmed by Adult Social Care or Children’s Services</w:t>
      </w:r>
    </w:p>
    <w:p w14:paraId="72F2E3C1" w14:textId="77777777" w:rsidR="007B793B" w:rsidRPr="00113F21" w:rsidRDefault="007B793B" w:rsidP="00D95BC4">
      <w:pPr>
        <w:numPr>
          <w:ilvl w:val="0"/>
          <w:numId w:val="10"/>
        </w:numPr>
        <w:jc w:val="both"/>
        <w:rPr>
          <w:rFonts w:cs="Arial"/>
        </w:rPr>
      </w:pPr>
      <w:r w:rsidRPr="00113F21">
        <w:rPr>
          <w:rFonts w:cs="Arial"/>
        </w:rPr>
        <w:t>tenants receiving continued support from the Leaving Care team.</w:t>
      </w:r>
    </w:p>
    <w:p w14:paraId="6B1848B7" w14:textId="77777777" w:rsidR="007B793B" w:rsidRPr="0039069E" w:rsidRDefault="007B793B" w:rsidP="00D80CC8">
      <w:pPr>
        <w:jc w:val="both"/>
        <w:rPr>
          <w:rFonts w:cs="Arial"/>
        </w:rPr>
      </w:pPr>
    </w:p>
    <w:p w14:paraId="1DAA7A03" w14:textId="77777777" w:rsidR="007B793B" w:rsidRPr="0039069E" w:rsidRDefault="007B793B" w:rsidP="00D80CC8">
      <w:pPr>
        <w:jc w:val="both"/>
        <w:rPr>
          <w:rFonts w:cs="Arial"/>
        </w:rPr>
      </w:pPr>
      <w:r w:rsidRPr="00113F21">
        <w:rPr>
          <w:rFonts w:cs="Arial"/>
        </w:rPr>
        <w:t>This means that following a review meeting, Harrow Council tenants in the above categories will always be offered a further 5 year flexible tenancy.</w:t>
      </w:r>
    </w:p>
    <w:p w14:paraId="40353E26" w14:textId="77777777" w:rsidR="00AA0C60" w:rsidRDefault="00AA0C60" w:rsidP="00D80CC8">
      <w:pPr>
        <w:jc w:val="both"/>
        <w:rPr>
          <w:rFonts w:cs="Arial"/>
          <w:sz w:val="22"/>
          <w:szCs w:val="22"/>
        </w:rPr>
      </w:pPr>
    </w:p>
    <w:p w14:paraId="7046782D" w14:textId="0A31528C" w:rsidR="004A2136" w:rsidRPr="00C758CD" w:rsidRDefault="004A2136" w:rsidP="00D80CC8">
      <w:pPr>
        <w:jc w:val="both"/>
        <w:rPr>
          <w:rFonts w:cs="Arial"/>
          <w:szCs w:val="24"/>
        </w:rPr>
      </w:pPr>
      <w:r w:rsidRPr="00C758CD">
        <w:rPr>
          <w:rFonts w:cs="Arial"/>
          <w:szCs w:val="24"/>
        </w:rPr>
        <w:t>The outcome of the consultation on the review and renewal of flexible</w:t>
      </w:r>
      <w:r w:rsidR="006529C3">
        <w:rPr>
          <w:rFonts w:cs="Arial"/>
          <w:szCs w:val="24"/>
        </w:rPr>
        <w:t xml:space="preserve"> </w:t>
      </w:r>
      <w:r w:rsidRPr="00C758CD">
        <w:rPr>
          <w:rFonts w:cs="Arial"/>
          <w:szCs w:val="24"/>
        </w:rPr>
        <w:t>fixed-term tenancies was also mixed.</w:t>
      </w:r>
    </w:p>
    <w:p w14:paraId="5A7D440B" w14:textId="39DA6540" w:rsidR="004A2136" w:rsidRDefault="004A2136" w:rsidP="00D80CC8">
      <w:pPr>
        <w:jc w:val="both"/>
        <w:rPr>
          <w:rFonts w:cs="Arial"/>
          <w:sz w:val="22"/>
          <w:szCs w:val="22"/>
        </w:rPr>
      </w:pPr>
    </w:p>
    <w:p w14:paraId="458529BC" w14:textId="2BA6B58B" w:rsidR="00C93F4F" w:rsidRPr="00F201DF" w:rsidRDefault="00C93F4F" w:rsidP="00D80CC8">
      <w:pPr>
        <w:jc w:val="both"/>
        <w:rPr>
          <w:rFonts w:cs="Arial"/>
          <w:b/>
        </w:rPr>
      </w:pPr>
      <w:r w:rsidRPr="00F201DF">
        <w:rPr>
          <w:rFonts w:cs="Arial"/>
          <w:b/>
        </w:rPr>
        <w:t>5.2.4</w:t>
      </w:r>
      <w:r w:rsidRPr="00F201DF">
        <w:rPr>
          <w:rFonts w:cs="Arial"/>
          <w:b/>
        </w:rPr>
        <w:tab/>
        <w:t>Use of Flexible Tenancies</w:t>
      </w:r>
    </w:p>
    <w:p w14:paraId="0C30C992" w14:textId="77777777" w:rsidR="00C93F4F" w:rsidRDefault="00C93F4F" w:rsidP="00D80CC8">
      <w:pPr>
        <w:jc w:val="both"/>
        <w:rPr>
          <w:rFonts w:cs="Arial"/>
        </w:rPr>
      </w:pPr>
    </w:p>
    <w:p w14:paraId="0A6B0F10" w14:textId="0CED173A" w:rsidR="005462E6" w:rsidRPr="0022003B" w:rsidRDefault="005462E6" w:rsidP="00D80CC8">
      <w:pPr>
        <w:jc w:val="both"/>
        <w:rPr>
          <w:rFonts w:cs="Arial"/>
        </w:rPr>
      </w:pPr>
      <w:r w:rsidRPr="0022003B">
        <w:rPr>
          <w:rFonts w:cs="Arial"/>
        </w:rPr>
        <w:t xml:space="preserve">More recently we have consulted on the </w:t>
      </w:r>
      <w:r w:rsidR="001D50BE">
        <w:rPr>
          <w:rFonts w:cs="Arial"/>
        </w:rPr>
        <w:t xml:space="preserve">continued </w:t>
      </w:r>
      <w:r w:rsidRPr="0022003B">
        <w:rPr>
          <w:rFonts w:cs="Arial"/>
        </w:rPr>
        <w:t>use of flexible</w:t>
      </w:r>
      <w:r w:rsidR="00E56B46">
        <w:rPr>
          <w:rFonts w:cs="Arial"/>
        </w:rPr>
        <w:t xml:space="preserve"> </w:t>
      </w:r>
      <w:r w:rsidRPr="0022003B">
        <w:rPr>
          <w:rFonts w:cs="Arial"/>
        </w:rPr>
        <w:t>fixed-term tenancies.</w:t>
      </w:r>
    </w:p>
    <w:p w14:paraId="4F491D6C" w14:textId="42FA86AF" w:rsidR="00F528BB" w:rsidRPr="0022003B" w:rsidRDefault="00F528BB" w:rsidP="00D80CC8">
      <w:pPr>
        <w:jc w:val="both"/>
        <w:rPr>
          <w:rFonts w:cs="Arial"/>
        </w:rPr>
      </w:pPr>
    </w:p>
    <w:p w14:paraId="44015020" w14:textId="37696C4F" w:rsidR="005552B6" w:rsidRPr="0022003B" w:rsidRDefault="005552B6" w:rsidP="00D80CC8">
      <w:pPr>
        <w:jc w:val="both"/>
        <w:rPr>
          <w:rFonts w:cs="Arial"/>
        </w:rPr>
      </w:pPr>
      <w:r w:rsidRPr="0022003B">
        <w:rPr>
          <w:rFonts w:cs="Arial"/>
        </w:rPr>
        <w:t>Flexible Tenancies were introduced by the Localism Act 2011.</w:t>
      </w:r>
      <w:r w:rsidR="001D50BE">
        <w:rPr>
          <w:rFonts w:cs="Arial"/>
        </w:rPr>
        <w:t xml:space="preserve"> </w:t>
      </w:r>
      <w:r w:rsidR="00623AF5">
        <w:rPr>
          <w:rFonts w:cs="Arial"/>
        </w:rPr>
        <w:t xml:space="preserve">The </w:t>
      </w:r>
      <w:r w:rsidRPr="0022003B">
        <w:rPr>
          <w:rFonts w:cs="Arial"/>
        </w:rPr>
        <w:t>Housing &amp; Planning Act 2016</w:t>
      </w:r>
      <w:r w:rsidR="00623AF5">
        <w:rPr>
          <w:rFonts w:cs="Arial"/>
        </w:rPr>
        <w:t xml:space="preserve"> i</w:t>
      </w:r>
      <w:r w:rsidRPr="0022003B">
        <w:rPr>
          <w:rFonts w:cs="Arial"/>
        </w:rPr>
        <w:t>ntended to phase out lifetime tenancies and make fixed</w:t>
      </w:r>
      <w:r w:rsidR="00A47DF1">
        <w:rPr>
          <w:rFonts w:cs="Arial"/>
        </w:rPr>
        <w:t>-</w:t>
      </w:r>
      <w:r w:rsidRPr="0022003B">
        <w:rPr>
          <w:rFonts w:cs="Arial"/>
        </w:rPr>
        <w:t>term tenancies compulsory</w:t>
      </w:r>
      <w:r w:rsidR="00623AF5">
        <w:rPr>
          <w:rFonts w:cs="Arial"/>
        </w:rPr>
        <w:t xml:space="preserve"> and w</w:t>
      </w:r>
      <w:r w:rsidRPr="0022003B">
        <w:rPr>
          <w:rFonts w:cs="Arial"/>
        </w:rPr>
        <w:t>ould have allowed a fixed term of up to 19 years based on age of the youngest child in household.</w:t>
      </w:r>
      <w:r w:rsidR="00A04AC2">
        <w:rPr>
          <w:rFonts w:cs="Arial"/>
        </w:rPr>
        <w:t xml:space="preserve"> </w:t>
      </w:r>
      <w:r w:rsidR="001D50BE">
        <w:rPr>
          <w:rFonts w:cs="Arial"/>
        </w:rPr>
        <w:t xml:space="preserve">Anomalies and impracticalities of current legislation were to be </w:t>
      </w:r>
      <w:r w:rsidR="00635726">
        <w:rPr>
          <w:rFonts w:cs="Arial"/>
        </w:rPr>
        <w:t>resolved</w:t>
      </w:r>
      <w:r w:rsidR="001D50BE">
        <w:rPr>
          <w:rFonts w:cs="Arial"/>
        </w:rPr>
        <w:t xml:space="preserve"> by the Housing &amp; Planning Act under provisions which have not been implemented. </w:t>
      </w:r>
      <w:r w:rsidR="00623AF5">
        <w:rPr>
          <w:rFonts w:cs="Arial"/>
        </w:rPr>
        <w:t xml:space="preserve">The </w:t>
      </w:r>
      <w:r w:rsidRPr="0022003B">
        <w:rPr>
          <w:rFonts w:cs="Arial"/>
        </w:rPr>
        <w:t>Social Housing Green Paper 2018</w:t>
      </w:r>
      <w:r w:rsidR="00A04AC2">
        <w:rPr>
          <w:rFonts w:cs="Arial"/>
        </w:rPr>
        <w:t xml:space="preserve"> r</w:t>
      </w:r>
      <w:r w:rsidRPr="0022003B">
        <w:rPr>
          <w:rFonts w:cs="Arial"/>
        </w:rPr>
        <w:t xml:space="preserve">eversed </w:t>
      </w:r>
      <w:r w:rsidR="007D640C">
        <w:rPr>
          <w:rFonts w:cs="Arial"/>
        </w:rPr>
        <w:t xml:space="preserve">the </w:t>
      </w:r>
      <w:r w:rsidRPr="0022003B">
        <w:rPr>
          <w:rFonts w:cs="Arial"/>
        </w:rPr>
        <w:t>decision to phase out lifetime tenancies.</w:t>
      </w:r>
    </w:p>
    <w:p w14:paraId="200DC83C" w14:textId="013A6EE7" w:rsidR="00F528BB" w:rsidRDefault="00F528BB" w:rsidP="00D80CC8">
      <w:pPr>
        <w:jc w:val="both"/>
        <w:rPr>
          <w:rFonts w:cs="Arial"/>
        </w:rPr>
      </w:pPr>
    </w:p>
    <w:p w14:paraId="4F8EBADE" w14:textId="7B8C03DA" w:rsidR="00391E35" w:rsidRDefault="00391E35" w:rsidP="00D80CC8">
      <w:pPr>
        <w:jc w:val="both"/>
      </w:pPr>
      <w:r>
        <w:t>We propose to end the use of flexible</w:t>
      </w:r>
      <w:r w:rsidR="00DD7DA6">
        <w:t xml:space="preserve"> </w:t>
      </w:r>
      <w:r>
        <w:t xml:space="preserve">fixed-term tenancies and use lifetime tenancies instead for all </w:t>
      </w:r>
      <w:r w:rsidR="001C2AFE">
        <w:t xml:space="preserve">new </w:t>
      </w:r>
      <w:r>
        <w:t>permanent lettings of general needs Harrow council housing</w:t>
      </w:r>
      <w:r w:rsidR="00ED5119">
        <w:t xml:space="preserve">, </w:t>
      </w:r>
      <w:r>
        <w:t xml:space="preserve">following </w:t>
      </w:r>
      <w:r w:rsidR="00ED5119">
        <w:t>the</w:t>
      </w:r>
      <w:r>
        <w:t xml:space="preserve"> successful </w:t>
      </w:r>
      <w:r w:rsidR="00ED5119">
        <w:t xml:space="preserve">completion </w:t>
      </w:r>
      <w:r w:rsidR="00E6543F">
        <w:t xml:space="preserve">of an </w:t>
      </w:r>
      <w:r>
        <w:t>introductory tenancy</w:t>
      </w:r>
      <w:r w:rsidR="00E6543F">
        <w:t xml:space="preserve"> which is usually for one year. </w:t>
      </w:r>
      <w:r w:rsidR="00C56E74">
        <w:t xml:space="preserve">Existing flexible tenants will be transitioned to </w:t>
      </w:r>
      <w:r w:rsidR="00E93C8D">
        <w:t>l</w:t>
      </w:r>
      <w:r w:rsidR="00C56E74">
        <w:t>ifetime tenanc</w:t>
      </w:r>
      <w:r w:rsidR="00E93C8D">
        <w:t>ies.</w:t>
      </w:r>
      <w:r w:rsidR="00CE6A27">
        <w:t xml:space="preserve"> </w:t>
      </w:r>
    </w:p>
    <w:p w14:paraId="31A3C17F" w14:textId="77777777" w:rsidR="00391E35" w:rsidRDefault="00391E35" w:rsidP="00D80CC8">
      <w:pPr>
        <w:jc w:val="both"/>
      </w:pPr>
    </w:p>
    <w:p w14:paraId="7242FFB9" w14:textId="457CB8BB" w:rsidR="00391E35" w:rsidRDefault="00391E35" w:rsidP="00D80CC8">
      <w:pPr>
        <w:jc w:val="both"/>
      </w:pPr>
      <w:r>
        <w:t>Reverting to using lifetime tenancies would alleviate the challenges of administering and managing flexible tenancies. This option would also address the concerns of some tenants. All tenants would have the same tenancy status. This option would remove the risk of any legal challenges arising from the use of flexible</w:t>
      </w:r>
      <w:r w:rsidR="003B5E19">
        <w:t xml:space="preserve"> </w:t>
      </w:r>
      <w:r>
        <w:t xml:space="preserve">fixed-term tenancies. </w:t>
      </w:r>
    </w:p>
    <w:p w14:paraId="08F4A6E5" w14:textId="2CB34D0D" w:rsidR="003B527A" w:rsidRPr="009B2274" w:rsidRDefault="003B527A" w:rsidP="00D80CC8">
      <w:pPr>
        <w:jc w:val="both"/>
        <w:rPr>
          <w:rFonts w:cs="Arial"/>
          <w:szCs w:val="24"/>
        </w:rPr>
      </w:pPr>
    </w:p>
    <w:p w14:paraId="425837BE" w14:textId="04A0BEE7" w:rsidR="003B527A" w:rsidRDefault="003B527A" w:rsidP="00D80CC8">
      <w:pPr>
        <w:jc w:val="both"/>
        <w:rPr>
          <w:rFonts w:cs="Arial"/>
          <w:szCs w:val="24"/>
        </w:rPr>
      </w:pPr>
      <w:r w:rsidRPr="009B2274">
        <w:rPr>
          <w:rFonts w:cs="Arial"/>
          <w:szCs w:val="24"/>
        </w:rPr>
        <w:t>Sheltered Housing applicants are currently offered lifetime tenancies so will not be affected by this change.</w:t>
      </w:r>
    </w:p>
    <w:p w14:paraId="25C8591E" w14:textId="120FAC64" w:rsidR="00C44209" w:rsidRDefault="00C44209" w:rsidP="00D80CC8">
      <w:pPr>
        <w:jc w:val="both"/>
        <w:rPr>
          <w:rFonts w:cs="Arial"/>
          <w:szCs w:val="24"/>
        </w:rPr>
      </w:pPr>
    </w:p>
    <w:p w14:paraId="7E553FA8" w14:textId="4E6A013D" w:rsidR="00C44209" w:rsidRPr="00062FB3" w:rsidRDefault="00C44209" w:rsidP="00D80CC8">
      <w:pPr>
        <w:jc w:val="both"/>
        <w:rPr>
          <w:rFonts w:cs="Arial"/>
          <w:b/>
          <w:szCs w:val="24"/>
        </w:rPr>
      </w:pPr>
      <w:r w:rsidRPr="00062FB3">
        <w:rPr>
          <w:rFonts w:cs="Arial"/>
          <w:b/>
          <w:szCs w:val="24"/>
        </w:rPr>
        <w:t>5.2.5</w:t>
      </w:r>
      <w:r w:rsidRPr="00062FB3">
        <w:rPr>
          <w:rFonts w:cs="Arial"/>
          <w:b/>
          <w:szCs w:val="24"/>
        </w:rPr>
        <w:tab/>
        <w:t>Under-Occupation</w:t>
      </w:r>
    </w:p>
    <w:p w14:paraId="53BE595A" w14:textId="4876A384" w:rsidR="00C44209" w:rsidRPr="00E46488" w:rsidRDefault="00C44209" w:rsidP="00D80CC8">
      <w:pPr>
        <w:jc w:val="both"/>
        <w:rPr>
          <w:rFonts w:cs="Arial"/>
          <w:szCs w:val="24"/>
        </w:rPr>
      </w:pPr>
    </w:p>
    <w:p w14:paraId="6726D5D8" w14:textId="44C9D1EC" w:rsidR="00E46488" w:rsidRPr="00E46488" w:rsidRDefault="006B6FB8" w:rsidP="00D80CC8">
      <w:pPr>
        <w:pStyle w:val="NormalWeb"/>
        <w:spacing w:before="0" w:beforeAutospacing="0" w:after="0"/>
        <w:jc w:val="both"/>
        <w:rPr>
          <w:rFonts w:ascii="Arial" w:hAnsi="Arial" w:cs="Arial"/>
        </w:rPr>
      </w:pPr>
      <w:r w:rsidRPr="00E46488">
        <w:rPr>
          <w:rFonts w:ascii="Arial" w:hAnsi="Arial" w:cs="Arial"/>
        </w:rPr>
        <w:t xml:space="preserve">There is currently a dedicated officer who </w:t>
      </w:r>
      <w:proofErr w:type="gramStart"/>
      <w:r w:rsidR="00E46488">
        <w:rPr>
          <w:rFonts w:ascii="Arial" w:hAnsi="Arial" w:cs="Arial"/>
        </w:rPr>
        <w:t xml:space="preserve">provides </w:t>
      </w:r>
      <w:r w:rsidRPr="00E46488">
        <w:rPr>
          <w:rFonts w:ascii="Arial" w:hAnsi="Arial" w:cs="Arial"/>
        </w:rPr>
        <w:t>assistance to</w:t>
      </w:r>
      <w:proofErr w:type="gramEnd"/>
      <w:r w:rsidRPr="00E46488">
        <w:rPr>
          <w:rFonts w:ascii="Arial" w:hAnsi="Arial" w:cs="Arial"/>
        </w:rPr>
        <w:t xml:space="preserve"> under-occupiers and a range of incentives are offered including Band A+ priority on the housing register.</w:t>
      </w:r>
      <w:r w:rsidR="00E46488" w:rsidRPr="00E46488">
        <w:rPr>
          <w:rFonts w:ascii="Arial" w:hAnsi="Arial" w:cs="Arial"/>
        </w:rPr>
        <w:t xml:space="preserve"> However alternative accommodation for under-occupiers is not readily available, particularly in view of the small social housing stock in Harrow.</w:t>
      </w:r>
    </w:p>
    <w:p w14:paraId="2A2C2D29" w14:textId="77777777" w:rsidR="006B6FB8" w:rsidRPr="00E46488" w:rsidRDefault="006B6FB8" w:rsidP="00D80CC8">
      <w:pPr>
        <w:jc w:val="both"/>
        <w:rPr>
          <w:rFonts w:cs="Arial"/>
          <w:szCs w:val="24"/>
        </w:rPr>
      </w:pPr>
    </w:p>
    <w:p w14:paraId="036DF317" w14:textId="7BCD48BF" w:rsidR="006B6FB8" w:rsidRPr="00E46488" w:rsidRDefault="00C44209" w:rsidP="00D80CC8">
      <w:pPr>
        <w:jc w:val="both"/>
        <w:rPr>
          <w:rFonts w:cs="Arial"/>
          <w:szCs w:val="24"/>
        </w:rPr>
      </w:pPr>
      <w:r w:rsidRPr="00E46488">
        <w:rPr>
          <w:rFonts w:cs="Arial"/>
          <w:szCs w:val="24"/>
        </w:rPr>
        <w:t>In order to address the original purpose for using flexible tenancies (allowing the Council to require tenants to move if they are under-occupying at the time of the tenancy review) a review of the approach to under-occupation will be undertaken in early 2021 to ensure that opportunities to release larger family sized homes are maximised.</w:t>
      </w:r>
    </w:p>
    <w:p w14:paraId="29D1427B" w14:textId="77777777" w:rsidR="00B07BAF" w:rsidRPr="00E46488" w:rsidRDefault="00B07BAF" w:rsidP="00D80CC8">
      <w:pPr>
        <w:jc w:val="both"/>
        <w:rPr>
          <w:rFonts w:cs="Arial"/>
          <w:szCs w:val="24"/>
        </w:rPr>
      </w:pPr>
    </w:p>
    <w:p w14:paraId="3F5A732B" w14:textId="45E84F69" w:rsidR="00AC2E40" w:rsidRPr="005E18FE" w:rsidRDefault="00AC2E40" w:rsidP="00D95BC4">
      <w:pPr>
        <w:pStyle w:val="ListParagraph"/>
        <w:numPr>
          <w:ilvl w:val="0"/>
          <w:numId w:val="5"/>
        </w:numPr>
        <w:autoSpaceDE w:val="0"/>
        <w:autoSpaceDN w:val="0"/>
        <w:adjustRightInd w:val="0"/>
        <w:jc w:val="both"/>
        <w:rPr>
          <w:rFonts w:cs="Arial"/>
          <w:b/>
          <w:bCs/>
          <w:sz w:val="28"/>
          <w:szCs w:val="28"/>
          <w:lang w:eastAsia="en-GB"/>
        </w:rPr>
      </w:pPr>
      <w:r w:rsidRPr="005E18FE">
        <w:rPr>
          <w:rFonts w:cs="Arial"/>
          <w:b/>
          <w:bCs/>
          <w:sz w:val="28"/>
          <w:szCs w:val="28"/>
          <w:lang w:eastAsia="en-GB"/>
        </w:rPr>
        <w:t>Consultation</w:t>
      </w:r>
    </w:p>
    <w:p w14:paraId="779AD9E2" w14:textId="77777777" w:rsidR="00AC2E40" w:rsidRDefault="00AC2E40" w:rsidP="00D80CC8">
      <w:pPr>
        <w:autoSpaceDE w:val="0"/>
        <w:autoSpaceDN w:val="0"/>
        <w:adjustRightInd w:val="0"/>
        <w:jc w:val="both"/>
        <w:rPr>
          <w:rFonts w:cs="Arial"/>
          <w:szCs w:val="24"/>
          <w:lang w:eastAsia="en-GB"/>
        </w:rPr>
      </w:pPr>
    </w:p>
    <w:p w14:paraId="0C00FEE8" w14:textId="74262D0A" w:rsidR="00AC2E40" w:rsidRDefault="00AC2E40" w:rsidP="00D80CC8">
      <w:pPr>
        <w:autoSpaceDE w:val="0"/>
        <w:autoSpaceDN w:val="0"/>
        <w:adjustRightInd w:val="0"/>
        <w:jc w:val="both"/>
        <w:rPr>
          <w:rFonts w:cs="Arial"/>
          <w:szCs w:val="24"/>
          <w:lang w:eastAsia="en-GB"/>
        </w:rPr>
      </w:pPr>
      <w:r>
        <w:rPr>
          <w:rFonts w:cs="Arial"/>
          <w:szCs w:val="24"/>
          <w:lang w:eastAsia="en-GB"/>
        </w:rPr>
        <w:lastRenderedPageBreak/>
        <w:t>Consultation has been carried out with a range of stakeholders including:</w:t>
      </w:r>
    </w:p>
    <w:p w14:paraId="167FD147" w14:textId="77777777" w:rsidR="00062FB3" w:rsidRDefault="00062FB3" w:rsidP="00D80CC8">
      <w:pPr>
        <w:autoSpaceDE w:val="0"/>
        <w:autoSpaceDN w:val="0"/>
        <w:adjustRightInd w:val="0"/>
        <w:jc w:val="both"/>
        <w:rPr>
          <w:rFonts w:cs="Arial"/>
          <w:szCs w:val="24"/>
          <w:lang w:eastAsia="en-GB"/>
        </w:rPr>
      </w:pPr>
    </w:p>
    <w:p w14:paraId="1D3FCC4C" w14:textId="77777777" w:rsidR="00AC2E40" w:rsidRDefault="00AC2E40" w:rsidP="00D80CC8">
      <w:pPr>
        <w:autoSpaceDE w:val="0"/>
        <w:autoSpaceDN w:val="0"/>
        <w:adjustRightInd w:val="0"/>
        <w:jc w:val="both"/>
        <w:rPr>
          <w:rFonts w:cs="Arial"/>
          <w:szCs w:val="24"/>
          <w:lang w:eastAsia="en-GB"/>
        </w:rPr>
      </w:pPr>
      <w:r>
        <w:rPr>
          <w:rFonts w:cs="Arial"/>
          <w:szCs w:val="24"/>
          <w:lang w:eastAsia="en-GB"/>
        </w:rPr>
        <w:t>● Cross-party Members Working Group</w:t>
      </w:r>
    </w:p>
    <w:p w14:paraId="338D340F" w14:textId="77777777" w:rsidR="00AC2E40" w:rsidRDefault="00AC2E40" w:rsidP="00D80CC8">
      <w:pPr>
        <w:autoSpaceDE w:val="0"/>
        <w:autoSpaceDN w:val="0"/>
        <w:adjustRightInd w:val="0"/>
        <w:jc w:val="both"/>
        <w:rPr>
          <w:rFonts w:cs="Arial"/>
          <w:szCs w:val="24"/>
          <w:lang w:eastAsia="en-GB"/>
        </w:rPr>
      </w:pPr>
      <w:r>
        <w:rPr>
          <w:rFonts w:cs="Arial"/>
          <w:szCs w:val="24"/>
          <w:lang w:eastAsia="en-GB"/>
        </w:rPr>
        <w:t>● Residents Board, a strategic group made up of selected council tenants</w:t>
      </w:r>
    </w:p>
    <w:p w14:paraId="4B1302FC" w14:textId="77777777" w:rsidR="00AC2E40" w:rsidRDefault="00AC2E40" w:rsidP="00D80CC8">
      <w:pPr>
        <w:autoSpaceDE w:val="0"/>
        <w:autoSpaceDN w:val="0"/>
        <w:adjustRightInd w:val="0"/>
        <w:jc w:val="both"/>
        <w:rPr>
          <w:rFonts w:cs="Arial"/>
          <w:szCs w:val="24"/>
          <w:lang w:eastAsia="en-GB"/>
        </w:rPr>
      </w:pPr>
      <w:r>
        <w:rPr>
          <w:rFonts w:cs="Arial"/>
          <w:szCs w:val="24"/>
          <w:lang w:eastAsia="en-GB"/>
        </w:rPr>
        <w:t>and leaseholders</w:t>
      </w:r>
    </w:p>
    <w:p w14:paraId="44BDCE28" w14:textId="6D0272EB" w:rsidR="00AC2E40" w:rsidRDefault="00AC2E40" w:rsidP="00D80CC8">
      <w:pPr>
        <w:autoSpaceDE w:val="0"/>
        <w:autoSpaceDN w:val="0"/>
        <w:adjustRightInd w:val="0"/>
        <w:jc w:val="both"/>
        <w:rPr>
          <w:rFonts w:cs="Arial"/>
          <w:szCs w:val="24"/>
          <w:lang w:eastAsia="en-GB"/>
        </w:rPr>
      </w:pPr>
      <w:r>
        <w:rPr>
          <w:rFonts w:cs="Arial"/>
          <w:szCs w:val="24"/>
          <w:lang w:eastAsia="en-GB"/>
        </w:rPr>
        <w:t xml:space="preserve">● </w:t>
      </w:r>
      <w:r w:rsidR="00234DAF">
        <w:rPr>
          <w:rFonts w:cs="Arial"/>
          <w:szCs w:val="24"/>
          <w:lang w:eastAsia="en-GB"/>
        </w:rPr>
        <w:t xml:space="preserve">Council tenants, through </w:t>
      </w:r>
      <w:r>
        <w:rPr>
          <w:rFonts w:cs="Arial"/>
          <w:szCs w:val="24"/>
          <w:lang w:eastAsia="en-GB"/>
        </w:rPr>
        <w:t>Housing Matters</w:t>
      </w:r>
      <w:r w:rsidR="00234DAF">
        <w:rPr>
          <w:rFonts w:cs="Arial"/>
          <w:szCs w:val="24"/>
          <w:lang w:eastAsia="en-GB"/>
        </w:rPr>
        <w:t xml:space="preserve"> (</w:t>
      </w:r>
      <w:r>
        <w:rPr>
          <w:rFonts w:cs="Arial"/>
          <w:szCs w:val="24"/>
          <w:lang w:eastAsia="en-GB"/>
        </w:rPr>
        <w:t>our residents meeting for council tenants and</w:t>
      </w:r>
      <w:r w:rsidR="00234DAF">
        <w:rPr>
          <w:rFonts w:cs="Arial"/>
          <w:szCs w:val="24"/>
          <w:lang w:eastAsia="en-GB"/>
        </w:rPr>
        <w:t xml:space="preserve"> </w:t>
      </w:r>
      <w:r>
        <w:rPr>
          <w:rFonts w:cs="Arial"/>
          <w:szCs w:val="24"/>
          <w:lang w:eastAsia="en-GB"/>
        </w:rPr>
        <w:t>leaseholders</w:t>
      </w:r>
      <w:r w:rsidR="00234DAF">
        <w:rPr>
          <w:rFonts w:cs="Arial"/>
          <w:szCs w:val="24"/>
          <w:lang w:eastAsia="en-GB"/>
        </w:rPr>
        <w:t>) and a s</w:t>
      </w:r>
      <w:r>
        <w:rPr>
          <w:rFonts w:cs="Arial"/>
          <w:szCs w:val="24"/>
          <w:lang w:eastAsia="en-GB"/>
        </w:rPr>
        <w:t>urvey in Homing In</w:t>
      </w:r>
      <w:r w:rsidR="00234DAF">
        <w:rPr>
          <w:rFonts w:cs="Arial"/>
          <w:szCs w:val="24"/>
          <w:lang w:eastAsia="en-GB"/>
        </w:rPr>
        <w:t xml:space="preserve"> (o</w:t>
      </w:r>
      <w:r>
        <w:rPr>
          <w:rFonts w:cs="Arial"/>
          <w:szCs w:val="24"/>
          <w:lang w:eastAsia="en-GB"/>
        </w:rPr>
        <w:t>ur residents</w:t>
      </w:r>
      <w:r w:rsidR="001D50BE">
        <w:rPr>
          <w:rFonts w:cs="Arial"/>
          <w:szCs w:val="24"/>
          <w:lang w:eastAsia="en-GB"/>
        </w:rPr>
        <w:t>’</w:t>
      </w:r>
      <w:r>
        <w:rPr>
          <w:rFonts w:cs="Arial"/>
          <w:szCs w:val="24"/>
          <w:lang w:eastAsia="en-GB"/>
        </w:rPr>
        <w:t xml:space="preserve"> magazine for council tenants and</w:t>
      </w:r>
      <w:r w:rsidR="00234DAF">
        <w:rPr>
          <w:rFonts w:cs="Arial"/>
          <w:szCs w:val="24"/>
          <w:lang w:eastAsia="en-GB"/>
        </w:rPr>
        <w:t xml:space="preserve"> </w:t>
      </w:r>
      <w:r>
        <w:rPr>
          <w:rFonts w:cs="Arial"/>
          <w:szCs w:val="24"/>
          <w:lang w:eastAsia="en-GB"/>
        </w:rPr>
        <w:t>leaseholders</w:t>
      </w:r>
      <w:r w:rsidR="00234DAF">
        <w:rPr>
          <w:rFonts w:cs="Arial"/>
          <w:szCs w:val="24"/>
          <w:lang w:eastAsia="en-GB"/>
        </w:rPr>
        <w:t>)</w:t>
      </w:r>
    </w:p>
    <w:p w14:paraId="409AA767" w14:textId="77777777" w:rsidR="00AC2E40" w:rsidRDefault="00AC2E40" w:rsidP="00D80CC8">
      <w:pPr>
        <w:autoSpaceDE w:val="0"/>
        <w:autoSpaceDN w:val="0"/>
        <w:adjustRightInd w:val="0"/>
        <w:jc w:val="both"/>
        <w:rPr>
          <w:rFonts w:cs="Arial"/>
          <w:szCs w:val="24"/>
          <w:lang w:eastAsia="en-GB"/>
        </w:rPr>
      </w:pPr>
      <w:r>
        <w:rPr>
          <w:rFonts w:cs="Arial"/>
          <w:szCs w:val="24"/>
          <w:lang w:eastAsia="en-GB"/>
        </w:rPr>
        <w:t>● Online survey, open to any interested respondent</w:t>
      </w:r>
    </w:p>
    <w:p w14:paraId="0814F037" w14:textId="77777777" w:rsidR="00AC2E40" w:rsidRDefault="00AC2E40" w:rsidP="00D80CC8">
      <w:pPr>
        <w:autoSpaceDE w:val="0"/>
        <w:autoSpaceDN w:val="0"/>
        <w:adjustRightInd w:val="0"/>
        <w:jc w:val="both"/>
        <w:rPr>
          <w:rFonts w:cs="Arial"/>
          <w:szCs w:val="24"/>
          <w:lang w:eastAsia="en-GB"/>
        </w:rPr>
      </w:pPr>
      <w:r>
        <w:rPr>
          <w:rFonts w:cs="Arial"/>
          <w:szCs w:val="24"/>
          <w:lang w:eastAsia="en-GB"/>
        </w:rPr>
        <w:t>● Voluntary &amp; Community Sector organisations</w:t>
      </w:r>
    </w:p>
    <w:p w14:paraId="6B00B899" w14:textId="3E804F2F" w:rsidR="00AC2E40" w:rsidRDefault="00AC2E40" w:rsidP="00D80CC8">
      <w:pPr>
        <w:autoSpaceDE w:val="0"/>
        <w:autoSpaceDN w:val="0"/>
        <w:adjustRightInd w:val="0"/>
        <w:jc w:val="both"/>
        <w:rPr>
          <w:rFonts w:cs="Arial"/>
          <w:szCs w:val="24"/>
          <w:lang w:eastAsia="en-GB"/>
        </w:rPr>
      </w:pPr>
      <w:r>
        <w:rPr>
          <w:rFonts w:cs="Arial"/>
          <w:szCs w:val="24"/>
          <w:lang w:eastAsia="en-GB"/>
        </w:rPr>
        <w:t>● Registered Providers (housing associations)</w:t>
      </w:r>
    </w:p>
    <w:p w14:paraId="15B6A5F1" w14:textId="77777777" w:rsidR="00AC2E40" w:rsidRDefault="00AC2E40" w:rsidP="00D80CC8">
      <w:pPr>
        <w:autoSpaceDE w:val="0"/>
        <w:autoSpaceDN w:val="0"/>
        <w:adjustRightInd w:val="0"/>
        <w:jc w:val="both"/>
        <w:rPr>
          <w:rFonts w:cs="Arial"/>
          <w:szCs w:val="24"/>
          <w:lang w:eastAsia="en-GB"/>
        </w:rPr>
      </w:pPr>
      <w:r>
        <w:rPr>
          <w:rFonts w:cs="Arial"/>
          <w:szCs w:val="24"/>
          <w:lang w:eastAsia="en-GB"/>
        </w:rPr>
        <w:t>● Homelessness Task Force members</w:t>
      </w:r>
    </w:p>
    <w:p w14:paraId="1B08D8CF" w14:textId="77777777" w:rsidR="00AC2E40" w:rsidRDefault="00AC2E40" w:rsidP="00D80CC8">
      <w:pPr>
        <w:autoSpaceDE w:val="0"/>
        <w:autoSpaceDN w:val="0"/>
        <w:adjustRightInd w:val="0"/>
        <w:jc w:val="both"/>
        <w:rPr>
          <w:rFonts w:cs="Arial"/>
          <w:szCs w:val="24"/>
          <w:lang w:eastAsia="en-GB"/>
        </w:rPr>
      </w:pPr>
      <w:r>
        <w:rPr>
          <w:rFonts w:cs="Arial"/>
          <w:szCs w:val="24"/>
          <w:lang w:eastAsia="en-GB"/>
        </w:rPr>
        <w:t>● Officers across Housing Services</w:t>
      </w:r>
    </w:p>
    <w:p w14:paraId="3D7230E6" w14:textId="77777777" w:rsidR="00AC2E40" w:rsidRDefault="00AC2E40" w:rsidP="00D80CC8">
      <w:pPr>
        <w:autoSpaceDE w:val="0"/>
        <w:autoSpaceDN w:val="0"/>
        <w:adjustRightInd w:val="0"/>
        <w:jc w:val="both"/>
        <w:rPr>
          <w:rFonts w:cs="Arial"/>
          <w:szCs w:val="24"/>
          <w:lang w:eastAsia="en-GB"/>
        </w:rPr>
      </w:pPr>
      <w:r>
        <w:rPr>
          <w:rFonts w:cs="Arial"/>
          <w:szCs w:val="24"/>
          <w:lang w:eastAsia="en-GB"/>
        </w:rPr>
        <w:t>● Officers across other council services.</w:t>
      </w:r>
    </w:p>
    <w:p w14:paraId="0E057551" w14:textId="77777777" w:rsidR="00AC2E40" w:rsidRDefault="00AC2E40" w:rsidP="00D80CC8">
      <w:pPr>
        <w:jc w:val="both"/>
        <w:rPr>
          <w:rFonts w:cs="Arial"/>
          <w:szCs w:val="24"/>
          <w:lang w:eastAsia="en-GB"/>
        </w:rPr>
      </w:pPr>
    </w:p>
    <w:p w14:paraId="1ABF2311" w14:textId="533F1E75" w:rsidR="00AC2E40" w:rsidRDefault="00AC2E40" w:rsidP="00D80CC8">
      <w:pPr>
        <w:jc w:val="both"/>
        <w:rPr>
          <w:rFonts w:cs="Arial"/>
          <w:szCs w:val="24"/>
          <w:lang w:eastAsia="en-GB"/>
        </w:rPr>
      </w:pPr>
      <w:r>
        <w:rPr>
          <w:rFonts w:cs="Arial"/>
          <w:szCs w:val="24"/>
          <w:lang w:eastAsia="en-GB"/>
        </w:rPr>
        <w:t xml:space="preserve">A summary of the outcomes of the consultation is attached as Appendix </w:t>
      </w:r>
      <w:r w:rsidR="00B7636B" w:rsidRPr="00B7636B">
        <w:rPr>
          <w:rFonts w:cs="Arial"/>
          <w:szCs w:val="24"/>
          <w:lang w:eastAsia="en-GB"/>
        </w:rPr>
        <w:t>5</w:t>
      </w:r>
      <w:r>
        <w:rPr>
          <w:rFonts w:cs="Arial"/>
          <w:szCs w:val="24"/>
          <w:lang w:eastAsia="en-GB"/>
        </w:rPr>
        <w:t>.</w:t>
      </w:r>
    </w:p>
    <w:p w14:paraId="61DC73B7" w14:textId="77777777" w:rsidR="00307F76" w:rsidRPr="00F06E4E" w:rsidRDefault="00307F76" w:rsidP="00D80CC8">
      <w:pPr>
        <w:spacing w:before="240"/>
        <w:jc w:val="both"/>
        <w:rPr>
          <w:b/>
          <w:szCs w:val="24"/>
        </w:rPr>
      </w:pPr>
      <w:r w:rsidRPr="00F06E4E">
        <w:rPr>
          <w:b/>
          <w:szCs w:val="24"/>
        </w:rPr>
        <w:t xml:space="preserve">Ward Councillors’ comments </w:t>
      </w:r>
    </w:p>
    <w:p w14:paraId="61DC73B8" w14:textId="200C26D5" w:rsidR="00955421" w:rsidRDefault="00955421" w:rsidP="00062FB3">
      <w:pPr>
        <w:jc w:val="both"/>
        <w:rPr>
          <w:b/>
        </w:rPr>
      </w:pPr>
    </w:p>
    <w:p w14:paraId="1AC2C27D" w14:textId="77777777" w:rsidR="005345EE" w:rsidRDefault="005345EE" w:rsidP="00062FB3">
      <w:pPr>
        <w:autoSpaceDE w:val="0"/>
        <w:autoSpaceDN w:val="0"/>
        <w:adjustRightInd w:val="0"/>
        <w:jc w:val="both"/>
        <w:rPr>
          <w:rFonts w:cs="Arial"/>
          <w:szCs w:val="24"/>
          <w:lang w:eastAsia="en-GB"/>
        </w:rPr>
      </w:pPr>
      <w:r>
        <w:rPr>
          <w:rFonts w:cs="Arial"/>
          <w:szCs w:val="24"/>
          <w:lang w:eastAsia="en-GB"/>
        </w:rPr>
        <w:t>Ward councillors have contributed to the review of the housing and</w:t>
      </w:r>
    </w:p>
    <w:p w14:paraId="3CABE357" w14:textId="77777777" w:rsidR="005345EE" w:rsidRDefault="005345EE" w:rsidP="00062FB3">
      <w:pPr>
        <w:autoSpaceDE w:val="0"/>
        <w:autoSpaceDN w:val="0"/>
        <w:adjustRightInd w:val="0"/>
        <w:jc w:val="both"/>
        <w:rPr>
          <w:rFonts w:cs="Arial"/>
          <w:szCs w:val="24"/>
          <w:lang w:eastAsia="en-GB"/>
        </w:rPr>
      </w:pPr>
      <w:r>
        <w:rPr>
          <w:rFonts w:cs="Arial"/>
          <w:szCs w:val="24"/>
          <w:lang w:eastAsia="en-GB"/>
        </w:rPr>
        <w:t>homelessness strategies through the Cross-party Members Working Group</w:t>
      </w:r>
    </w:p>
    <w:p w14:paraId="0D3A7686" w14:textId="293D67B5" w:rsidR="005345EE" w:rsidRDefault="005345EE" w:rsidP="00062FB3">
      <w:pPr>
        <w:jc w:val="both"/>
        <w:rPr>
          <w:b/>
        </w:rPr>
      </w:pPr>
      <w:r>
        <w:rPr>
          <w:rFonts w:cs="Arial"/>
          <w:szCs w:val="24"/>
          <w:lang w:eastAsia="en-GB"/>
        </w:rPr>
        <w:t>and through additional presentations to the Labour Group.</w:t>
      </w:r>
    </w:p>
    <w:p w14:paraId="1520A2F3" w14:textId="67273101" w:rsidR="002C5890" w:rsidRPr="0096699E" w:rsidRDefault="00A81E19" w:rsidP="0096699E">
      <w:pPr>
        <w:pStyle w:val="Heading3"/>
        <w:spacing w:before="480" w:after="240"/>
        <w:ind w:left="0" w:firstLine="0"/>
      </w:pPr>
      <w:r w:rsidRPr="001472A8">
        <w:t>Risk Management Implications</w:t>
      </w:r>
    </w:p>
    <w:p w14:paraId="2017FE46" w14:textId="2E4023C5" w:rsidR="002C5890" w:rsidRPr="00FC7DD0" w:rsidRDefault="002C5890" w:rsidP="00D80CC8">
      <w:pPr>
        <w:tabs>
          <w:tab w:val="left" w:pos="5610"/>
        </w:tabs>
        <w:ind w:right="81"/>
        <w:jc w:val="both"/>
      </w:pPr>
      <w:r>
        <w:rPr>
          <w:rFonts w:cs="Arial"/>
          <w:szCs w:val="24"/>
          <w:lang w:val="en-US"/>
        </w:rPr>
        <w:t xml:space="preserve">Risks included on corporate or directorate risk register? </w:t>
      </w:r>
      <w:proofErr w:type="gramStart"/>
      <w:r w:rsidRPr="009647F3">
        <w:rPr>
          <w:rFonts w:cs="Arial"/>
          <w:b/>
          <w:bCs/>
          <w:szCs w:val="24"/>
          <w:lang w:val="en-US"/>
        </w:rPr>
        <w:t>Yes</w:t>
      </w:r>
      <w:proofErr w:type="gramEnd"/>
      <w:r w:rsidR="002226D3" w:rsidRPr="00FC7DD0">
        <w:rPr>
          <w:rFonts w:cs="Arial"/>
          <w:szCs w:val="24"/>
          <w:lang w:val="en-US"/>
        </w:rPr>
        <w:t xml:space="preserve"> </w:t>
      </w:r>
      <w:r w:rsidR="009647F3" w:rsidRPr="00FC7DD0">
        <w:rPr>
          <w:rFonts w:cs="Arial"/>
          <w:szCs w:val="24"/>
          <w:lang w:val="en-US"/>
        </w:rPr>
        <w:t xml:space="preserve">HRA risk is </w:t>
      </w:r>
      <w:r w:rsidR="002226D3" w:rsidRPr="00FC7DD0">
        <w:rPr>
          <w:rFonts w:cs="Arial"/>
          <w:szCs w:val="24"/>
          <w:lang w:val="en-US"/>
        </w:rPr>
        <w:t xml:space="preserve">on </w:t>
      </w:r>
      <w:r w:rsidR="009647F3" w:rsidRPr="00FC7DD0">
        <w:rPr>
          <w:rFonts w:cs="Arial"/>
          <w:szCs w:val="24"/>
          <w:lang w:val="en-US"/>
        </w:rPr>
        <w:t xml:space="preserve">the </w:t>
      </w:r>
      <w:r w:rsidR="002226D3" w:rsidRPr="00FC7DD0">
        <w:rPr>
          <w:rFonts w:cs="Arial"/>
          <w:szCs w:val="24"/>
          <w:lang w:val="en-US"/>
        </w:rPr>
        <w:t>Housing Services risk register</w:t>
      </w:r>
    </w:p>
    <w:p w14:paraId="53828D88" w14:textId="77777777" w:rsidR="002C5890" w:rsidRDefault="002C5890" w:rsidP="00D80CC8">
      <w:pPr>
        <w:ind w:left="-142" w:right="141"/>
        <w:jc w:val="both"/>
        <w:rPr>
          <w:rFonts w:cs="Arial"/>
          <w:szCs w:val="24"/>
          <w:lang w:val="en-US" w:eastAsia="en-GB"/>
        </w:rPr>
      </w:pPr>
      <w:r>
        <w:rPr>
          <w:rFonts w:cs="Arial"/>
          <w:szCs w:val="24"/>
          <w:lang w:val="en-US" w:eastAsia="en-GB"/>
        </w:rPr>
        <w:t xml:space="preserve">  </w:t>
      </w:r>
    </w:p>
    <w:p w14:paraId="527C8CE5" w14:textId="4535DCC6" w:rsidR="002C5890" w:rsidRDefault="002C5890" w:rsidP="00D80CC8">
      <w:pPr>
        <w:ind w:left="-142" w:right="141" w:firstLine="142"/>
        <w:jc w:val="both"/>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0F361C03" w14:textId="77777777" w:rsidR="002C5890" w:rsidRDefault="002C5890" w:rsidP="00D80CC8">
      <w:pPr>
        <w:tabs>
          <w:tab w:val="left" w:pos="5610"/>
        </w:tabs>
        <w:ind w:left="567" w:right="81" w:hanging="567"/>
        <w:jc w:val="both"/>
      </w:pPr>
    </w:p>
    <w:p w14:paraId="29DD6B5E" w14:textId="067DF659" w:rsidR="002C5890" w:rsidRDefault="002C5890" w:rsidP="00D80CC8">
      <w:pPr>
        <w:tabs>
          <w:tab w:val="left" w:pos="5610"/>
        </w:tabs>
        <w:ind w:right="81"/>
        <w:jc w:val="both"/>
      </w:pPr>
      <w:r>
        <w:t xml:space="preserve">The relevant risks contained in the register are attached/summarised below. </w:t>
      </w:r>
      <w:r>
        <w:rPr>
          <w:rFonts w:cs="Arial"/>
          <w:b/>
          <w:bCs/>
          <w:szCs w:val="24"/>
          <w:lang w:val="en-US" w:eastAsia="en-GB"/>
        </w:rPr>
        <w:t>Yes</w:t>
      </w:r>
    </w:p>
    <w:p w14:paraId="2E6CCB8B" w14:textId="77777777" w:rsidR="002C5890" w:rsidRDefault="002C5890" w:rsidP="00D80CC8">
      <w:pPr>
        <w:jc w:val="both"/>
      </w:pPr>
    </w:p>
    <w:p w14:paraId="1EC95789" w14:textId="77777777" w:rsidR="002C5890" w:rsidRDefault="002C5890" w:rsidP="00D80CC8">
      <w:pPr>
        <w:jc w:val="both"/>
      </w:pPr>
      <w:r>
        <w:t xml:space="preserve">The following key risks should be </w:t>
      </w:r>
      <w:proofErr w:type="gramStart"/>
      <w:r>
        <w:t>taken into account</w:t>
      </w:r>
      <w:proofErr w:type="gramEnd"/>
      <w:r>
        <w:t xml:space="preserve"> when agreeing the recommendations in this report:</w:t>
      </w:r>
    </w:p>
    <w:p w14:paraId="2D2FD38D" w14:textId="77777777" w:rsidR="002C5890" w:rsidRDefault="002C5890" w:rsidP="00D80CC8">
      <w:pPr>
        <w:ind w:left="567" w:right="141" w:hanging="567"/>
        <w:jc w:val="both"/>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2C5890" w14:paraId="245747D9" w14:textId="77777777" w:rsidTr="00944111">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D38537" w14:textId="77777777" w:rsidR="002C5890" w:rsidRDefault="002C5890" w:rsidP="00D80CC8">
            <w:pPr>
              <w:spacing w:line="247" w:lineRule="auto"/>
              <w:ind w:right="141"/>
              <w:jc w:val="both"/>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AA6347" w14:textId="77777777" w:rsidR="002C5890" w:rsidRDefault="002C5890" w:rsidP="00D80CC8">
            <w:pPr>
              <w:spacing w:line="247" w:lineRule="auto"/>
              <w:ind w:right="141"/>
              <w:jc w:val="both"/>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AAF5B88" w14:textId="77777777" w:rsidR="002C5890" w:rsidRDefault="002C5890" w:rsidP="00D80CC8">
            <w:pPr>
              <w:spacing w:line="247" w:lineRule="auto"/>
              <w:ind w:left="171" w:right="141"/>
              <w:jc w:val="both"/>
              <w:rPr>
                <w:rFonts w:cs="Arial"/>
                <w:b/>
                <w:bCs/>
                <w:szCs w:val="24"/>
                <w:lang w:val="en-US" w:eastAsia="en-GB"/>
              </w:rPr>
            </w:pPr>
            <w:r>
              <w:rPr>
                <w:rFonts w:cs="Arial"/>
                <w:b/>
                <w:bCs/>
                <w:szCs w:val="24"/>
                <w:lang w:val="en-US" w:eastAsia="en-GB"/>
              </w:rPr>
              <w:t>RAG Status</w:t>
            </w:r>
          </w:p>
        </w:tc>
      </w:tr>
      <w:tr w:rsidR="002C5890" w14:paraId="582C34B7" w14:textId="77777777" w:rsidTr="00FC7DD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1379A" w14:textId="77777777" w:rsidR="009D64B5" w:rsidRDefault="009D64B5" w:rsidP="009D64B5">
            <w:pPr>
              <w:spacing w:line="244" w:lineRule="auto"/>
              <w:ind w:right="141"/>
              <w:rPr>
                <w:rFonts w:cs="Arial"/>
              </w:rPr>
            </w:pPr>
            <w:r>
              <w:rPr>
                <w:rFonts w:cs="Arial"/>
              </w:rPr>
              <w:t>HRA Business Plan viability is threatened</w:t>
            </w:r>
          </w:p>
          <w:p w14:paraId="3001D77F" w14:textId="77777777" w:rsidR="009D64B5" w:rsidRDefault="009D64B5" w:rsidP="000524E6">
            <w:pPr>
              <w:spacing w:line="247" w:lineRule="auto"/>
              <w:ind w:right="141"/>
              <w:rPr>
                <w:rFonts w:cs="Arial"/>
              </w:rPr>
            </w:pPr>
          </w:p>
          <w:p w14:paraId="5E97AC58" w14:textId="6959AAFF" w:rsidR="000524E6" w:rsidRDefault="000524E6" w:rsidP="000524E6">
            <w:pPr>
              <w:spacing w:line="247" w:lineRule="auto"/>
              <w:ind w:right="141"/>
              <w:rPr>
                <w:rFonts w:cs="Arial"/>
              </w:rPr>
            </w:pPr>
            <w:r>
              <w:rPr>
                <w:rFonts w:cs="Arial"/>
              </w:rPr>
              <w:t xml:space="preserve">Viability of HRA in medium term is under review in the context of a wide range of variables which can have a significant impact on the financial resources available to the HRA as reported to </w:t>
            </w:r>
            <w:proofErr w:type="gramStart"/>
            <w:r>
              <w:rPr>
                <w:rFonts w:cs="Arial"/>
              </w:rPr>
              <w:t>Cabinet :</w:t>
            </w:r>
            <w:proofErr w:type="gramEnd"/>
            <w:r>
              <w:rPr>
                <w:rFonts w:cs="Arial"/>
              </w:rPr>
              <w:t xml:space="preserve"> </w:t>
            </w:r>
          </w:p>
          <w:p w14:paraId="7BBB8475" w14:textId="77777777" w:rsidR="000524E6" w:rsidRDefault="000524E6" w:rsidP="000524E6">
            <w:pPr>
              <w:spacing w:line="247" w:lineRule="auto"/>
              <w:ind w:right="141"/>
              <w:rPr>
                <w:rFonts w:cs="Arial"/>
              </w:rPr>
            </w:pPr>
            <w:r>
              <w:rPr>
                <w:rFonts w:cs="Arial"/>
              </w:rPr>
              <w:t>-HRA Business Plan update 8</w:t>
            </w:r>
            <w:r w:rsidRPr="002E3873">
              <w:rPr>
                <w:rFonts w:cs="Arial"/>
                <w:vertAlign w:val="superscript"/>
              </w:rPr>
              <w:t>th</w:t>
            </w:r>
            <w:r>
              <w:rPr>
                <w:rFonts w:cs="Arial"/>
              </w:rPr>
              <w:t xml:space="preserve"> Oct 2020</w:t>
            </w:r>
          </w:p>
          <w:p w14:paraId="436C28B2" w14:textId="7387CC4C" w:rsidR="002C5890" w:rsidRDefault="000524E6" w:rsidP="000524E6">
            <w:pPr>
              <w:spacing w:line="247" w:lineRule="auto"/>
              <w:ind w:right="141"/>
              <w:jc w:val="both"/>
              <w:rPr>
                <w:rFonts w:cs="Arial"/>
                <w:szCs w:val="24"/>
                <w:lang w:val="en-US" w:eastAsia="en-GB"/>
              </w:rPr>
            </w:pPr>
            <w:r>
              <w:rPr>
                <w:rFonts w:cs="Arial"/>
              </w:rPr>
              <w:t xml:space="preserve">- HRA Budget 2021/22 and </w:t>
            </w:r>
            <w:r>
              <w:rPr>
                <w:rFonts w:cs="Arial"/>
              </w:rPr>
              <w:lastRenderedPageBreak/>
              <w:t>MTFS 2022/23 to 2023/24, elsewhere on the agenda</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21ED7" w14:textId="17B447EA" w:rsidR="002C5890" w:rsidRDefault="00AB63D2" w:rsidP="00D95BC4">
            <w:pPr>
              <w:pStyle w:val="ListParagraph"/>
              <w:numPr>
                <w:ilvl w:val="0"/>
                <w:numId w:val="12"/>
              </w:numPr>
              <w:suppressAutoHyphens/>
              <w:autoSpaceDN w:val="0"/>
              <w:spacing w:line="247" w:lineRule="auto"/>
              <w:ind w:left="171" w:right="141" w:hanging="171"/>
              <w:jc w:val="both"/>
              <w:rPr>
                <w:rFonts w:cs="Arial"/>
                <w:szCs w:val="24"/>
                <w:lang w:val="en-US" w:eastAsia="en-GB"/>
              </w:rPr>
            </w:pPr>
            <w:r>
              <w:rPr>
                <w:rFonts w:cs="Arial"/>
                <w:szCs w:val="24"/>
                <w:lang w:val="en-US" w:eastAsia="en-GB"/>
              </w:rPr>
              <w:lastRenderedPageBreak/>
              <w:t xml:space="preserve">Void times and void loss- Housing Allocation Scheme </w:t>
            </w:r>
            <w:r w:rsidR="005A0FD8">
              <w:rPr>
                <w:rFonts w:cs="Arial"/>
                <w:szCs w:val="24"/>
                <w:lang w:val="en-US" w:eastAsia="en-GB"/>
              </w:rPr>
              <w:t xml:space="preserve">sets out policy on non-bidding and refusals which helps to minimize void times and void loss and </w:t>
            </w:r>
            <w:r w:rsidR="00492C45">
              <w:rPr>
                <w:rFonts w:cs="Arial"/>
                <w:szCs w:val="24"/>
                <w:lang w:val="en-US" w:eastAsia="en-GB"/>
              </w:rPr>
              <w:t>associated negative im</w:t>
            </w:r>
            <w:r w:rsidR="00D02541">
              <w:rPr>
                <w:rFonts w:cs="Arial"/>
                <w:szCs w:val="24"/>
                <w:lang w:val="en-US" w:eastAsia="en-GB"/>
              </w:rPr>
              <w:t>p</w:t>
            </w:r>
            <w:r w:rsidR="00492C45">
              <w:rPr>
                <w:rFonts w:cs="Arial"/>
                <w:szCs w:val="24"/>
                <w:lang w:val="en-US" w:eastAsia="en-GB"/>
              </w:rPr>
              <w:t>act on HRA</w:t>
            </w:r>
            <w:r w:rsidR="005F25D0">
              <w:rPr>
                <w:rFonts w:cs="Arial"/>
                <w:szCs w:val="24"/>
                <w:lang w:val="en-US" w:eastAsia="en-GB"/>
              </w:rPr>
              <w:t>.</w:t>
            </w:r>
          </w:p>
          <w:p w14:paraId="7A45E057" w14:textId="0E6A1BAC" w:rsidR="002C5890" w:rsidRDefault="00492C45" w:rsidP="00D95BC4">
            <w:pPr>
              <w:pStyle w:val="ListParagraph"/>
              <w:numPr>
                <w:ilvl w:val="0"/>
                <w:numId w:val="12"/>
              </w:numPr>
              <w:suppressAutoHyphens/>
              <w:autoSpaceDN w:val="0"/>
              <w:spacing w:line="247" w:lineRule="auto"/>
              <w:ind w:left="171" w:right="141" w:hanging="171"/>
              <w:jc w:val="both"/>
              <w:rPr>
                <w:rFonts w:cs="Arial"/>
                <w:szCs w:val="24"/>
                <w:lang w:val="en-US" w:eastAsia="en-GB"/>
              </w:rPr>
            </w:pPr>
            <w:r>
              <w:rPr>
                <w:rFonts w:cs="Arial"/>
                <w:szCs w:val="24"/>
                <w:lang w:val="en-US" w:eastAsia="en-GB"/>
              </w:rPr>
              <w:t xml:space="preserve">Use of flexible tenancies- </w:t>
            </w:r>
            <w:r w:rsidR="00C22819">
              <w:rPr>
                <w:rFonts w:cs="Arial"/>
                <w:szCs w:val="24"/>
                <w:lang w:val="en-US" w:eastAsia="en-GB"/>
              </w:rPr>
              <w:t xml:space="preserve">proposal to end use of flexible tenancies will </w:t>
            </w:r>
            <w:r w:rsidR="0067174D">
              <w:rPr>
                <w:rFonts w:cs="Arial"/>
                <w:szCs w:val="24"/>
                <w:lang w:val="en-US" w:eastAsia="en-GB"/>
              </w:rPr>
              <w:t>reduce the challenge of recovering former</w:t>
            </w:r>
            <w:r w:rsidR="00D02541">
              <w:rPr>
                <w:rFonts w:cs="Arial"/>
                <w:szCs w:val="24"/>
                <w:lang w:val="en-US" w:eastAsia="en-GB"/>
              </w:rPr>
              <w:t xml:space="preserve"> flexible </w:t>
            </w:r>
            <w:r w:rsidR="00D02541">
              <w:rPr>
                <w:rFonts w:cs="Arial"/>
                <w:szCs w:val="24"/>
                <w:lang w:val="en-US" w:eastAsia="en-GB"/>
              </w:rPr>
              <w:lastRenderedPageBreak/>
              <w:t>tenant</w:t>
            </w:r>
            <w:r w:rsidR="0067174D">
              <w:rPr>
                <w:rFonts w:cs="Arial"/>
                <w:szCs w:val="24"/>
                <w:lang w:val="en-US" w:eastAsia="en-GB"/>
              </w:rPr>
              <w:t xml:space="preserve"> rent arrears</w:t>
            </w:r>
            <w:r w:rsidR="00F71235">
              <w:rPr>
                <w:rFonts w:cs="Arial"/>
                <w:szCs w:val="24"/>
                <w:lang w:val="en-US" w:eastAsia="en-GB"/>
              </w:rPr>
              <w:t xml:space="preserve"> and legal challenges relating to flexible </w:t>
            </w:r>
            <w:proofErr w:type="gramStart"/>
            <w:r w:rsidR="00F71235">
              <w:rPr>
                <w:rFonts w:cs="Arial"/>
                <w:szCs w:val="24"/>
                <w:lang w:val="en-US" w:eastAsia="en-GB"/>
              </w:rPr>
              <w:t>tenancies</w:t>
            </w:r>
            <w:r w:rsidR="004F2D85">
              <w:rPr>
                <w:rFonts w:cs="Arial"/>
                <w:szCs w:val="24"/>
                <w:lang w:val="en-US" w:eastAsia="en-GB"/>
              </w:rPr>
              <w:t>, and</w:t>
            </w:r>
            <w:proofErr w:type="gramEnd"/>
            <w:r w:rsidR="004F2D85">
              <w:rPr>
                <w:rFonts w:cs="Arial"/>
                <w:szCs w:val="24"/>
                <w:lang w:val="en-US" w:eastAsia="en-GB"/>
              </w:rPr>
              <w:t xml:space="preserve"> associated negative impact on HRA</w:t>
            </w:r>
            <w:r w:rsidR="005F25D0">
              <w:rPr>
                <w:rFonts w:cs="Arial"/>
                <w:szCs w:val="24"/>
                <w:lang w:val="en-US" w:eastAsia="en-GB"/>
              </w:rPr>
              <w:t>.</w:t>
            </w:r>
          </w:p>
          <w:p w14:paraId="65BC5952" w14:textId="77777777" w:rsidR="002C5890" w:rsidRPr="00476BD5" w:rsidRDefault="002C5890" w:rsidP="00D80CC8">
            <w:pPr>
              <w:pStyle w:val="ListParagraph"/>
              <w:suppressAutoHyphens/>
              <w:autoSpaceDN w:val="0"/>
              <w:spacing w:line="247" w:lineRule="auto"/>
              <w:ind w:left="171" w:right="141"/>
              <w:jc w:val="both"/>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shd w:val="clear" w:color="auto" w:fill="FEC000"/>
            <w:hideMark/>
          </w:tcPr>
          <w:p w14:paraId="340FA5CC" w14:textId="77777777" w:rsidR="00371EFC" w:rsidRDefault="002C5890" w:rsidP="00D80CC8">
            <w:pPr>
              <w:spacing w:line="247" w:lineRule="auto"/>
              <w:ind w:left="171" w:right="141"/>
              <w:jc w:val="both"/>
              <w:rPr>
                <w:rFonts w:cs="Arial"/>
                <w:szCs w:val="24"/>
                <w:lang w:val="en-US" w:eastAsia="en-GB"/>
              </w:rPr>
            </w:pPr>
            <w:r>
              <w:rPr>
                <w:rFonts w:cs="Arial"/>
                <w:szCs w:val="24"/>
                <w:lang w:val="en-US" w:eastAsia="en-GB"/>
              </w:rPr>
              <w:lastRenderedPageBreak/>
              <w:t>Amber</w:t>
            </w:r>
            <w:r w:rsidR="000524E6">
              <w:rPr>
                <w:rFonts w:cs="Arial"/>
                <w:szCs w:val="24"/>
                <w:lang w:val="en-US" w:eastAsia="en-GB"/>
              </w:rPr>
              <w:t xml:space="preserve"> </w:t>
            </w:r>
          </w:p>
          <w:p w14:paraId="71B0E1F1" w14:textId="77777777" w:rsidR="00371EFC" w:rsidRDefault="00371EFC" w:rsidP="00D80CC8">
            <w:pPr>
              <w:spacing w:line="247" w:lineRule="auto"/>
              <w:ind w:left="171" w:right="141"/>
              <w:jc w:val="both"/>
              <w:rPr>
                <w:rFonts w:cs="Arial"/>
                <w:szCs w:val="24"/>
                <w:lang w:val="en-US" w:eastAsia="en-GB"/>
              </w:rPr>
            </w:pPr>
          </w:p>
          <w:p w14:paraId="08D25354" w14:textId="57584DE3" w:rsidR="002C5890" w:rsidRDefault="000524E6" w:rsidP="00D80CC8">
            <w:pPr>
              <w:spacing w:line="247" w:lineRule="auto"/>
              <w:ind w:left="171" w:right="141"/>
              <w:jc w:val="both"/>
              <w:rPr>
                <w:rFonts w:cs="Arial"/>
                <w:szCs w:val="24"/>
                <w:lang w:val="en-US" w:eastAsia="en-GB"/>
              </w:rPr>
            </w:pPr>
            <w:r>
              <w:rPr>
                <w:rFonts w:cs="Arial"/>
                <w:szCs w:val="24"/>
                <w:lang w:val="en-US" w:eastAsia="en-GB"/>
              </w:rPr>
              <w:t xml:space="preserve">(in line with the </w:t>
            </w:r>
            <w:proofErr w:type="spellStart"/>
            <w:r>
              <w:rPr>
                <w:rFonts w:cs="Arial"/>
                <w:szCs w:val="24"/>
                <w:lang w:val="en-US" w:eastAsia="en-GB"/>
              </w:rPr>
              <w:t>the</w:t>
            </w:r>
            <w:proofErr w:type="spellEnd"/>
            <w:r>
              <w:rPr>
                <w:rFonts w:cs="Arial"/>
                <w:szCs w:val="24"/>
                <w:lang w:val="en-US" w:eastAsia="en-GB"/>
              </w:rPr>
              <w:t xml:space="preserve"> risks cited on HRA Budget report, elsewhere on the agenda)</w:t>
            </w:r>
          </w:p>
          <w:p w14:paraId="07D381EE" w14:textId="72A3800F" w:rsidR="002C5890" w:rsidRDefault="002C5890" w:rsidP="00D80CC8">
            <w:pPr>
              <w:spacing w:line="247" w:lineRule="auto"/>
              <w:ind w:left="171" w:right="141"/>
              <w:jc w:val="both"/>
              <w:rPr>
                <w:rFonts w:cs="Arial"/>
                <w:szCs w:val="24"/>
                <w:lang w:val="en-US" w:eastAsia="en-GB"/>
              </w:rPr>
            </w:pPr>
          </w:p>
        </w:tc>
      </w:tr>
      <w:tr w:rsidR="00371EFC" w14:paraId="0E2D744B" w14:textId="77777777" w:rsidTr="00FC7DD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BEDED" w14:textId="138A33E0" w:rsidR="00371EFC" w:rsidRDefault="00A23E1C" w:rsidP="009D64B5">
            <w:pPr>
              <w:spacing w:line="244" w:lineRule="auto"/>
              <w:ind w:right="141"/>
              <w:rPr>
                <w:rFonts w:cs="Arial"/>
              </w:rPr>
            </w:pPr>
            <w:r>
              <w:rPr>
                <w:rFonts w:cs="Arial"/>
              </w:rPr>
              <w:t>Statutory duties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36CAC" w14:textId="0DF86C94" w:rsidR="00371EFC" w:rsidRDefault="00A23E1C" w:rsidP="00D95BC4">
            <w:pPr>
              <w:pStyle w:val="ListParagraph"/>
              <w:numPr>
                <w:ilvl w:val="0"/>
                <w:numId w:val="12"/>
              </w:numPr>
              <w:suppressAutoHyphens/>
              <w:autoSpaceDN w:val="0"/>
              <w:spacing w:line="247" w:lineRule="auto"/>
              <w:ind w:left="171" w:right="141" w:hanging="171"/>
              <w:jc w:val="both"/>
              <w:rPr>
                <w:rFonts w:cs="Arial"/>
                <w:szCs w:val="24"/>
                <w:lang w:val="en-US" w:eastAsia="en-GB"/>
              </w:rPr>
            </w:pPr>
            <w:r>
              <w:t>Reviewing the Housing Allocation Scheme and the Tenancy Strategy &amp; Policy ensures that the Council complies with its statutory duty</w:t>
            </w:r>
            <w:r w:rsidR="005F25D0">
              <w:t>.</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2F6ADAEB" w14:textId="77777777" w:rsidR="00371EFC" w:rsidRDefault="00A23E1C" w:rsidP="00D80CC8">
            <w:pPr>
              <w:spacing w:line="247" w:lineRule="auto"/>
              <w:ind w:left="171" w:right="141"/>
              <w:jc w:val="both"/>
              <w:rPr>
                <w:rFonts w:cs="Arial"/>
                <w:szCs w:val="24"/>
                <w:lang w:val="en-US" w:eastAsia="en-GB"/>
              </w:rPr>
            </w:pPr>
            <w:r>
              <w:rPr>
                <w:rFonts w:cs="Arial"/>
                <w:szCs w:val="24"/>
                <w:lang w:val="en-US" w:eastAsia="en-GB"/>
              </w:rPr>
              <w:t>Green</w:t>
            </w:r>
          </w:p>
          <w:p w14:paraId="1A9CD894" w14:textId="2871C3A2" w:rsidR="00A23E1C" w:rsidRDefault="00A23E1C" w:rsidP="00D80CC8">
            <w:pPr>
              <w:spacing w:line="247" w:lineRule="auto"/>
              <w:ind w:left="171" w:right="141"/>
              <w:jc w:val="both"/>
              <w:rPr>
                <w:rFonts w:cs="Arial"/>
                <w:szCs w:val="24"/>
                <w:lang w:val="en-US" w:eastAsia="en-GB"/>
              </w:rPr>
            </w:pPr>
          </w:p>
        </w:tc>
      </w:tr>
      <w:tr w:rsidR="00A23E1C" w14:paraId="5A22BB74" w14:textId="77777777" w:rsidTr="00FC7DD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DAF82" w14:textId="65363891" w:rsidR="00A23E1C" w:rsidRDefault="00B12A99" w:rsidP="009D64B5">
            <w:pPr>
              <w:spacing w:line="244" w:lineRule="auto"/>
              <w:ind w:right="141"/>
              <w:rPr>
                <w:rFonts w:cs="Arial"/>
              </w:rPr>
            </w:pPr>
            <w:r>
              <w:rPr>
                <w:rFonts w:cs="Arial"/>
              </w:rPr>
              <w:t>Under-occupation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E96E0" w14:textId="5AC68C12" w:rsidR="00B12A99" w:rsidRPr="00EE3F43" w:rsidRDefault="00B12A99" w:rsidP="00D95BC4">
            <w:pPr>
              <w:pStyle w:val="ListParagraph"/>
              <w:numPr>
                <w:ilvl w:val="0"/>
                <w:numId w:val="15"/>
              </w:numPr>
              <w:suppressAutoHyphens/>
              <w:autoSpaceDN w:val="0"/>
              <w:spacing w:line="244" w:lineRule="auto"/>
              <w:ind w:right="141"/>
              <w:jc w:val="both"/>
              <w:rPr>
                <w:rFonts w:cs="Arial"/>
                <w:szCs w:val="24"/>
                <w:lang w:val="en-US" w:eastAsia="en-GB"/>
              </w:rPr>
            </w:pPr>
            <w:r w:rsidRPr="00EE3F43">
              <w:rPr>
                <w:rFonts w:cs="Arial"/>
                <w:szCs w:val="24"/>
                <w:lang w:val="en-US" w:eastAsia="en-GB"/>
              </w:rPr>
              <w:t>Ending the use of flexible tenancies may reduce the ability to mitigate the risk of under-occupation, but there is no evidence to date that flexible tenancies are an effective tool to address under-occupation</w:t>
            </w:r>
            <w:r w:rsidR="005F25D0">
              <w:rPr>
                <w:rFonts w:cs="Arial"/>
                <w:szCs w:val="24"/>
                <w:lang w:val="en-US" w:eastAsia="en-GB"/>
              </w:rPr>
              <w:t>.</w:t>
            </w:r>
          </w:p>
          <w:p w14:paraId="0332E3CC" w14:textId="200F89F9" w:rsidR="00A23E1C" w:rsidRDefault="00B12A99" w:rsidP="00D95BC4">
            <w:pPr>
              <w:pStyle w:val="ListParagraph"/>
              <w:numPr>
                <w:ilvl w:val="0"/>
                <w:numId w:val="15"/>
              </w:numPr>
              <w:suppressAutoHyphens/>
              <w:autoSpaceDN w:val="0"/>
              <w:spacing w:line="247" w:lineRule="auto"/>
              <w:ind w:right="141"/>
              <w:jc w:val="both"/>
            </w:pPr>
            <w:r>
              <w:t>A review of the approach to under-occupation will be undertaken in early 2021 to ensure that opportunities to release larger family sized homes are maximised.</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5259CD38" w14:textId="45E50DD2" w:rsidR="00A23E1C" w:rsidRDefault="00776EA8" w:rsidP="00D80CC8">
            <w:pPr>
              <w:spacing w:line="247" w:lineRule="auto"/>
              <w:ind w:left="171" w:right="141"/>
              <w:jc w:val="both"/>
              <w:rPr>
                <w:rFonts w:cs="Arial"/>
                <w:szCs w:val="24"/>
                <w:lang w:val="en-US" w:eastAsia="en-GB"/>
              </w:rPr>
            </w:pPr>
            <w:r>
              <w:rPr>
                <w:rFonts w:cs="Arial"/>
                <w:szCs w:val="24"/>
                <w:lang w:val="en-US" w:eastAsia="en-GB"/>
              </w:rPr>
              <w:t>Green</w:t>
            </w:r>
          </w:p>
        </w:tc>
      </w:tr>
      <w:tr w:rsidR="00776EA8" w14:paraId="1938AC38" w14:textId="77777777" w:rsidTr="00FC7DD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DC314" w14:textId="2EB0D18E" w:rsidR="00776EA8" w:rsidRDefault="00776EA8" w:rsidP="009D64B5">
            <w:pPr>
              <w:spacing w:line="244" w:lineRule="auto"/>
              <w:ind w:right="141"/>
              <w:rPr>
                <w:rFonts w:cs="Arial"/>
              </w:rPr>
            </w:pPr>
            <w:r>
              <w:rPr>
                <w:rFonts w:cs="Arial"/>
              </w:rPr>
              <w:t>Risk of legal challenge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D59B1" w14:textId="50C54F15" w:rsidR="00776EA8" w:rsidRPr="003B68F6" w:rsidRDefault="00776EA8" w:rsidP="00D95BC4">
            <w:pPr>
              <w:pStyle w:val="ListParagraph"/>
              <w:numPr>
                <w:ilvl w:val="0"/>
                <w:numId w:val="16"/>
              </w:numPr>
              <w:suppressAutoHyphens/>
              <w:autoSpaceDN w:val="0"/>
              <w:spacing w:line="244" w:lineRule="auto"/>
              <w:ind w:right="141"/>
              <w:rPr>
                <w:rFonts w:cs="Arial"/>
                <w:szCs w:val="24"/>
                <w:lang w:val="en-US" w:eastAsia="en-GB"/>
              </w:rPr>
            </w:pPr>
            <w:r>
              <w:t>Reviewing the Housing Allocation Scheme and the Tenancy Strategy &amp; Policy to ensure they are compliant and up to date reduces the risk of legal challenge</w:t>
            </w:r>
            <w:r w:rsidR="005F25D0">
              <w:t>.</w:t>
            </w:r>
          </w:p>
          <w:p w14:paraId="0B619549" w14:textId="3C77CB7F" w:rsidR="00776EA8" w:rsidRPr="00E12194" w:rsidRDefault="00776EA8" w:rsidP="00D95BC4">
            <w:pPr>
              <w:pStyle w:val="ListParagraph"/>
              <w:numPr>
                <w:ilvl w:val="0"/>
                <w:numId w:val="16"/>
              </w:numPr>
              <w:suppressAutoHyphens/>
              <w:autoSpaceDN w:val="0"/>
              <w:spacing w:line="244" w:lineRule="auto"/>
              <w:ind w:right="141"/>
              <w:rPr>
                <w:rFonts w:cs="Arial"/>
                <w:szCs w:val="24"/>
                <w:lang w:val="en-US" w:eastAsia="en-GB"/>
              </w:rPr>
            </w:pPr>
            <w:r w:rsidRPr="003B68F6">
              <w:rPr>
                <w:rFonts w:cs="Arial"/>
                <w:szCs w:val="24"/>
                <w:lang w:val="en-US"/>
              </w:rPr>
              <w:t>Ending the use of flexible tenancies will remove the risk of challenge in relation to flexible tenancies</w:t>
            </w:r>
            <w:r w:rsidR="005F25D0">
              <w:rPr>
                <w:rFonts w:cs="Arial"/>
                <w:szCs w:val="24"/>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39A8BBC8" w14:textId="78066B45" w:rsidR="00776EA8" w:rsidRDefault="00776EA8" w:rsidP="00D80CC8">
            <w:pPr>
              <w:spacing w:line="247" w:lineRule="auto"/>
              <w:ind w:left="171" w:right="141"/>
              <w:jc w:val="both"/>
              <w:rPr>
                <w:rFonts w:cs="Arial"/>
                <w:szCs w:val="24"/>
                <w:lang w:val="en-US" w:eastAsia="en-GB"/>
              </w:rPr>
            </w:pPr>
            <w:r>
              <w:rPr>
                <w:rFonts w:cs="Arial"/>
                <w:szCs w:val="24"/>
                <w:lang w:val="en-US" w:eastAsia="en-GB"/>
              </w:rPr>
              <w:t>Green</w:t>
            </w:r>
          </w:p>
        </w:tc>
      </w:tr>
    </w:tbl>
    <w:p w14:paraId="61DC73DB" w14:textId="77777777" w:rsidR="002A3FEF" w:rsidRDefault="002A3FEF" w:rsidP="00D80CC8">
      <w:pPr>
        <w:pStyle w:val="Heading3"/>
        <w:spacing w:before="480" w:after="240"/>
        <w:ind w:left="0" w:firstLine="0"/>
      </w:pPr>
      <w:r>
        <w:t xml:space="preserve">Procurement Implications </w:t>
      </w:r>
    </w:p>
    <w:p w14:paraId="08BC2BEC" w14:textId="2D4279FD" w:rsidR="006A5247" w:rsidRDefault="00AC7FF0" w:rsidP="00D80CC8">
      <w:pPr>
        <w:jc w:val="both"/>
        <w:rPr>
          <w:color w:val="FF0000"/>
        </w:rPr>
      </w:pPr>
      <w:r>
        <w:rPr>
          <w:rFonts w:cs="Arial"/>
          <w:szCs w:val="24"/>
          <w:lang w:eastAsia="en-GB"/>
        </w:rPr>
        <w:t xml:space="preserve">There are no direct procurement implications resulting from the recommendation to this report. </w:t>
      </w:r>
      <w:proofErr w:type="gramStart"/>
      <w:r>
        <w:rPr>
          <w:rFonts w:cs="Arial"/>
          <w:szCs w:val="24"/>
          <w:lang w:eastAsia="en-GB"/>
        </w:rPr>
        <w:t>However</w:t>
      </w:r>
      <w:proofErr w:type="gramEnd"/>
      <w:r>
        <w:rPr>
          <w:rFonts w:cs="Arial"/>
          <w:szCs w:val="24"/>
          <w:lang w:eastAsia="en-GB"/>
        </w:rPr>
        <w:t xml:space="preserve"> if any procurement is required it will be conducted compliant with the Contract Procedure Rules.</w:t>
      </w:r>
      <w:r>
        <w:rPr>
          <w:rFonts w:cs="Arial"/>
          <w:color w:val="FF0000"/>
          <w:szCs w:val="24"/>
        </w:rPr>
        <w:t xml:space="preserve"> </w:t>
      </w:r>
    </w:p>
    <w:p w14:paraId="61DC73E4" w14:textId="77777777" w:rsidR="00333FAA" w:rsidRDefault="00333FAA" w:rsidP="00A1211C">
      <w:pPr>
        <w:pStyle w:val="Heading3"/>
        <w:spacing w:before="480" w:after="240"/>
      </w:pPr>
      <w:r>
        <w:lastRenderedPageBreak/>
        <w:t>Legal Implications</w:t>
      </w:r>
    </w:p>
    <w:p w14:paraId="41304A1B" w14:textId="77777777" w:rsidR="00F35AC9" w:rsidRDefault="00F35AC9" w:rsidP="00F35AC9">
      <w:pPr>
        <w:pStyle w:val="Heading3"/>
        <w:ind w:left="0" w:firstLine="0"/>
        <w:rPr>
          <w:b w:val="0"/>
          <w:bCs w:val="0"/>
          <w:sz w:val="24"/>
          <w:szCs w:val="24"/>
        </w:rPr>
      </w:pPr>
      <w:r>
        <w:rPr>
          <w:b w:val="0"/>
          <w:bCs w:val="0"/>
          <w:sz w:val="24"/>
          <w:szCs w:val="24"/>
        </w:rPr>
        <w:t xml:space="preserve">The Housing Allocation Scheme is a statutory requirement under </w:t>
      </w:r>
      <w:r>
        <w:rPr>
          <w:b w:val="0"/>
          <w:sz w:val="24"/>
          <w:szCs w:val="24"/>
        </w:rPr>
        <w:t>Part VI of the Housing Act 1996 as amended by the Homelessness Act 2002 and the Localism Act 2011.</w:t>
      </w:r>
    </w:p>
    <w:p w14:paraId="7497CC71" w14:textId="77777777" w:rsidR="00F35AC9" w:rsidRDefault="00F35AC9" w:rsidP="00F35AC9">
      <w:pPr>
        <w:jc w:val="both"/>
      </w:pPr>
    </w:p>
    <w:p w14:paraId="7E8AF4B2" w14:textId="77777777" w:rsidR="00F35AC9" w:rsidRDefault="00F35AC9" w:rsidP="00F35AC9">
      <w:pPr>
        <w:jc w:val="both"/>
      </w:pPr>
      <w:r>
        <w:t>The Tenancy Strategy is a statutory requirement under the Localism Act 2011. The Tenancy Policy is a requirement of the Tenancy Standard set by the Regulator of Social Housing. There is a requirement to keep them under review.</w:t>
      </w:r>
    </w:p>
    <w:p w14:paraId="33DA555D" w14:textId="77777777" w:rsidR="00F35AC9" w:rsidRDefault="00F35AC9" w:rsidP="00F35AC9">
      <w:pPr>
        <w:pStyle w:val="NoSpacing"/>
        <w:jc w:val="both"/>
        <w:rPr>
          <w:rFonts w:ascii="Arial" w:hAnsi="Arial" w:cs="Arial"/>
          <w:sz w:val="24"/>
          <w:szCs w:val="24"/>
          <w:lang w:eastAsia="en-GB"/>
        </w:rPr>
      </w:pPr>
    </w:p>
    <w:p w14:paraId="5A099EA2" w14:textId="77777777" w:rsidR="00F35AC9" w:rsidRDefault="00F35AC9" w:rsidP="00F35AC9">
      <w:pPr>
        <w:pStyle w:val="NoSpacing"/>
        <w:jc w:val="both"/>
        <w:rPr>
          <w:rFonts w:ascii="Arial" w:hAnsi="Arial" w:cs="Arial"/>
          <w:sz w:val="24"/>
          <w:szCs w:val="24"/>
          <w:lang w:eastAsia="en-GB"/>
        </w:rPr>
      </w:pPr>
      <w:r w:rsidRPr="002415BA">
        <w:rPr>
          <w:rFonts w:ascii="Arial" w:hAnsi="Arial" w:cs="Arial"/>
          <w:sz w:val="24"/>
          <w:szCs w:val="24"/>
          <w:lang w:eastAsia="en-GB"/>
        </w:rPr>
        <w:t>Article 13 of the Council’s Constitution defines a ‘key decision’, which includes</w:t>
      </w:r>
      <w:r>
        <w:rPr>
          <w:rFonts w:ascii="Arial" w:hAnsi="Arial" w:cs="Arial"/>
          <w:sz w:val="24"/>
          <w:szCs w:val="24"/>
          <w:lang w:eastAsia="en-GB"/>
        </w:rPr>
        <w:t xml:space="preserve"> a </w:t>
      </w:r>
      <w:r w:rsidRPr="002415BA">
        <w:rPr>
          <w:rFonts w:ascii="Arial" w:hAnsi="Arial" w:cs="Arial"/>
          <w:sz w:val="24"/>
          <w:szCs w:val="24"/>
          <w:lang w:eastAsia="en-GB"/>
        </w:rPr>
        <w:t>decision likely to be significant in terms of its effects on communities living or worki</w:t>
      </w:r>
      <w:r>
        <w:rPr>
          <w:rFonts w:ascii="Arial" w:hAnsi="Arial" w:cs="Arial"/>
          <w:sz w:val="24"/>
          <w:szCs w:val="24"/>
          <w:lang w:eastAsia="en-GB"/>
        </w:rPr>
        <w:t xml:space="preserve">ng </w:t>
      </w:r>
      <w:r w:rsidRPr="002415BA">
        <w:rPr>
          <w:rFonts w:ascii="Arial" w:hAnsi="Arial" w:cs="Arial"/>
          <w:sz w:val="24"/>
          <w:szCs w:val="24"/>
          <w:lang w:eastAsia="en-GB"/>
        </w:rPr>
        <w:t>in an area of two or more wards of the Borough.</w:t>
      </w:r>
      <w:r>
        <w:rPr>
          <w:rFonts w:ascii="Arial" w:hAnsi="Arial" w:cs="Arial"/>
          <w:sz w:val="24"/>
          <w:szCs w:val="24"/>
          <w:lang w:eastAsia="en-GB"/>
        </w:rPr>
        <w:t xml:space="preserve">  </w:t>
      </w:r>
      <w:r w:rsidRPr="002415BA">
        <w:rPr>
          <w:rFonts w:ascii="Arial" w:hAnsi="Arial" w:cs="Arial"/>
          <w:sz w:val="24"/>
          <w:szCs w:val="24"/>
          <w:lang w:eastAsia="en-GB"/>
        </w:rPr>
        <w:t>Part 3A to the Constitution states the Cabinet is responsible for all key</w:t>
      </w:r>
      <w:r>
        <w:rPr>
          <w:rFonts w:ascii="Arial" w:hAnsi="Arial" w:cs="Arial"/>
          <w:sz w:val="24"/>
          <w:szCs w:val="24"/>
          <w:lang w:eastAsia="en-GB"/>
        </w:rPr>
        <w:t xml:space="preserve"> </w:t>
      </w:r>
      <w:r w:rsidRPr="002415BA">
        <w:rPr>
          <w:rFonts w:ascii="Arial" w:hAnsi="Arial" w:cs="Arial"/>
          <w:sz w:val="24"/>
          <w:szCs w:val="24"/>
          <w:lang w:eastAsia="en-GB"/>
        </w:rPr>
        <w:t>decisions.</w:t>
      </w:r>
    </w:p>
    <w:p w14:paraId="3E17A27D" w14:textId="77777777" w:rsidR="00F35AC9" w:rsidRDefault="00F35AC9" w:rsidP="00F35AC9">
      <w:pPr>
        <w:rPr>
          <w:rFonts w:cs="Arial"/>
        </w:rPr>
      </w:pPr>
    </w:p>
    <w:p w14:paraId="2BC175FF" w14:textId="77777777" w:rsidR="00F35AC9" w:rsidRPr="002415BA" w:rsidRDefault="00F35AC9" w:rsidP="00F35AC9">
      <w:pPr>
        <w:rPr>
          <w:rFonts w:cs="Arial"/>
          <w:b/>
          <w:u w:val="single"/>
        </w:rPr>
      </w:pPr>
      <w:r w:rsidRPr="002415BA">
        <w:rPr>
          <w:rFonts w:cs="Arial"/>
          <w:b/>
          <w:u w:val="single"/>
        </w:rPr>
        <w:t>The Housing Allocation Scheme</w:t>
      </w:r>
    </w:p>
    <w:p w14:paraId="37D87049" w14:textId="77777777" w:rsidR="00F35AC9" w:rsidRDefault="00F35AC9" w:rsidP="00F35AC9">
      <w:pPr>
        <w:rPr>
          <w:rFonts w:cs="Arial"/>
        </w:rPr>
      </w:pPr>
    </w:p>
    <w:p w14:paraId="0558604A" w14:textId="77777777" w:rsidR="00F35AC9" w:rsidRPr="005060F8" w:rsidRDefault="00F35AC9" w:rsidP="00F35AC9">
      <w:pPr>
        <w:pStyle w:val="NoSpacing"/>
        <w:jc w:val="both"/>
        <w:rPr>
          <w:rFonts w:ascii="Arial" w:hAnsi="Arial" w:cs="Arial"/>
          <w:sz w:val="24"/>
          <w:szCs w:val="24"/>
          <w:lang w:eastAsia="en-GB"/>
        </w:rPr>
      </w:pPr>
      <w:r w:rsidRPr="005060F8">
        <w:rPr>
          <w:rFonts w:ascii="Arial" w:hAnsi="Arial" w:cs="Arial"/>
          <w:sz w:val="24"/>
          <w:szCs w:val="24"/>
          <w:lang w:eastAsia="en-GB"/>
        </w:rPr>
        <w:t>The allocation of housing by local housing authorities is regulated by Part 6 of</w:t>
      </w:r>
      <w:r>
        <w:rPr>
          <w:rFonts w:ascii="Arial" w:hAnsi="Arial" w:cs="Arial"/>
          <w:sz w:val="24"/>
          <w:szCs w:val="24"/>
          <w:lang w:eastAsia="en-GB"/>
        </w:rPr>
        <w:t xml:space="preserve"> the Housing Act 1996.  Section 159(1) of Housing Act 1996 requires that</w:t>
      </w:r>
      <w:r w:rsidRPr="005060F8">
        <w:rPr>
          <w:rFonts w:ascii="Arial" w:hAnsi="Arial" w:cs="Arial"/>
          <w:sz w:val="24"/>
          <w:szCs w:val="24"/>
          <w:lang w:eastAsia="en-GB"/>
        </w:rPr>
        <w:t xml:space="preserve"> loc</w:t>
      </w:r>
      <w:r>
        <w:rPr>
          <w:rFonts w:ascii="Arial" w:hAnsi="Arial" w:cs="Arial"/>
          <w:sz w:val="24"/>
          <w:szCs w:val="24"/>
          <w:lang w:eastAsia="en-GB"/>
        </w:rPr>
        <w:t xml:space="preserve">al housing authorities </w:t>
      </w:r>
      <w:r w:rsidRPr="005060F8">
        <w:rPr>
          <w:rFonts w:ascii="Arial" w:hAnsi="Arial" w:cs="Arial"/>
          <w:sz w:val="24"/>
          <w:szCs w:val="24"/>
          <w:lang w:eastAsia="en-GB"/>
        </w:rPr>
        <w:t>must comp</w:t>
      </w:r>
      <w:r>
        <w:rPr>
          <w:rFonts w:ascii="Arial" w:hAnsi="Arial" w:cs="Arial"/>
          <w:sz w:val="24"/>
          <w:szCs w:val="24"/>
          <w:lang w:eastAsia="en-GB"/>
        </w:rPr>
        <w:t>ly with the provisions of Part VI</w:t>
      </w:r>
      <w:r w:rsidRPr="005060F8">
        <w:rPr>
          <w:rFonts w:ascii="Arial" w:hAnsi="Arial" w:cs="Arial"/>
          <w:sz w:val="24"/>
          <w:szCs w:val="24"/>
          <w:lang w:eastAsia="en-GB"/>
        </w:rPr>
        <w:t xml:space="preserve"> when allocating housing accommodation. However, subject to this compliance, authorities may otherwise allocate housing in any m</w:t>
      </w:r>
      <w:r>
        <w:rPr>
          <w:rFonts w:ascii="Arial" w:hAnsi="Arial" w:cs="Arial"/>
          <w:sz w:val="24"/>
          <w:szCs w:val="24"/>
          <w:lang w:eastAsia="en-GB"/>
        </w:rPr>
        <w:t>anner they consider appropriate: section 159(7) Housing Act 1996</w:t>
      </w:r>
      <w:r w:rsidRPr="005060F8">
        <w:rPr>
          <w:rFonts w:ascii="Arial" w:hAnsi="Arial" w:cs="Arial"/>
          <w:sz w:val="24"/>
          <w:szCs w:val="24"/>
          <w:lang w:eastAsia="en-GB"/>
        </w:rPr>
        <w:t>.</w:t>
      </w:r>
    </w:p>
    <w:p w14:paraId="2A729A1A" w14:textId="77777777" w:rsidR="00F35AC9" w:rsidRPr="005060F8" w:rsidRDefault="00F35AC9" w:rsidP="00F35AC9">
      <w:pPr>
        <w:pStyle w:val="NoSpacing"/>
        <w:jc w:val="both"/>
        <w:rPr>
          <w:rFonts w:ascii="Arial" w:hAnsi="Arial" w:cs="Arial"/>
          <w:sz w:val="24"/>
          <w:szCs w:val="24"/>
          <w:lang w:eastAsia="en-GB"/>
        </w:rPr>
      </w:pPr>
    </w:p>
    <w:p w14:paraId="098E9929" w14:textId="31106CA4" w:rsidR="00F35AC9" w:rsidRPr="005060F8" w:rsidRDefault="00F35AC9" w:rsidP="00F35AC9">
      <w:pPr>
        <w:pStyle w:val="NoSpacing"/>
        <w:jc w:val="both"/>
        <w:rPr>
          <w:rFonts w:ascii="Arial" w:hAnsi="Arial" w:cs="Arial"/>
          <w:sz w:val="24"/>
          <w:szCs w:val="24"/>
          <w:lang w:eastAsia="en-GB"/>
        </w:rPr>
      </w:pPr>
      <w:r w:rsidRPr="005060F8">
        <w:rPr>
          <w:rFonts w:ascii="Arial" w:hAnsi="Arial" w:cs="Arial"/>
          <w:sz w:val="24"/>
          <w:szCs w:val="24"/>
          <w:lang w:eastAsia="en-GB"/>
        </w:rPr>
        <w:t>Section 166</w:t>
      </w:r>
      <w:proofErr w:type="gramStart"/>
      <w:r w:rsidRPr="005060F8">
        <w:rPr>
          <w:rFonts w:ascii="Arial" w:hAnsi="Arial" w:cs="Arial"/>
          <w:sz w:val="24"/>
          <w:szCs w:val="24"/>
          <w:lang w:eastAsia="en-GB"/>
        </w:rPr>
        <w:t>A(</w:t>
      </w:r>
      <w:proofErr w:type="gramEnd"/>
      <w:r w:rsidRPr="005060F8">
        <w:rPr>
          <w:rFonts w:ascii="Arial" w:hAnsi="Arial" w:cs="Arial"/>
          <w:sz w:val="24"/>
          <w:szCs w:val="24"/>
          <w:lang w:eastAsia="en-GB"/>
        </w:rPr>
        <w:t>1) of the H</w:t>
      </w:r>
      <w:r>
        <w:rPr>
          <w:rFonts w:ascii="Arial" w:hAnsi="Arial" w:cs="Arial"/>
          <w:sz w:val="24"/>
          <w:szCs w:val="24"/>
          <w:lang w:eastAsia="en-GB"/>
        </w:rPr>
        <w:t xml:space="preserve">ousing </w:t>
      </w:r>
      <w:r w:rsidRPr="005060F8">
        <w:rPr>
          <w:rFonts w:ascii="Arial" w:hAnsi="Arial" w:cs="Arial"/>
          <w:sz w:val="24"/>
          <w:szCs w:val="24"/>
          <w:lang w:eastAsia="en-GB"/>
        </w:rPr>
        <w:t>A</w:t>
      </w:r>
      <w:r>
        <w:rPr>
          <w:rFonts w:ascii="Arial" w:hAnsi="Arial" w:cs="Arial"/>
          <w:sz w:val="24"/>
          <w:szCs w:val="24"/>
          <w:lang w:eastAsia="en-GB"/>
        </w:rPr>
        <w:t>ct</w:t>
      </w:r>
      <w:r w:rsidRPr="005060F8">
        <w:rPr>
          <w:rFonts w:ascii="Arial" w:hAnsi="Arial" w:cs="Arial"/>
          <w:sz w:val="24"/>
          <w:szCs w:val="24"/>
          <w:lang w:eastAsia="en-GB"/>
        </w:rPr>
        <w:t xml:space="preserve"> 1996 </w:t>
      </w:r>
      <w:r>
        <w:rPr>
          <w:rFonts w:ascii="Arial" w:hAnsi="Arial" w:cs="Arial"/>
          <w:sz w:val="24"/>
          <w:szCs w:val="24"/>
          <w:lang w:eastAsia="en-GB"/>
        </w:rPr>
        <w:t>(</w:t>
      </w:r>
      <w:r w:rsidRPr="005060F8">
        <w:rPr>
          <w:rFonts w:ascii="Arial" w:hAnsi="Arial" w:cs="Arial"/>
          <w:sz w:val="24"/>
          <w:szCs w:val="24"/>
        </w:rPr>
        <w:t>as amended by the Homelessness Act 2002 and the Localism Act 2011</w:t>
      </w:r>
      <w:r>
        <w:rPr>
          <w:rFonts w:ascii="Arial" w:hAnsi="Arial" w:cs="Arial"/>
          <w:sz w:val="24"/>
          <w:szCs w:val="24"/>
        </w:rPr>
        <w:t xml:space="preserve">) </w:t>
      </w:r>
      <w:r>
        <w:rPr>
          <w:rFonts w:ascii="Arial" w:hAnsi="Arial" w:cs="Arial"/>
          <w:sz w:val="24"/>
          <w:szCs w:val="24"/>
          <w:lang w:eastAsia="en-GB"/>
        </w:rPr>
        <w:t>requires that every local housing authority</w:t>
      </w:r>
      <w:r w:rsidRPr="005060F8">
        <w:rPr>
          <w:rFonts w:ascii="Arial" w:hAnsi="Arial" w:cs="Arial"/>
          <w:sz w:val="24"/>
          <w:szCs w:val="24"/>
          <w:lang w:eastAsia="en-GB"/>
        </w:rPr>
        <w:t xml:space="preserve"> must have an allocation scheme </w:t>
      </w:r>
      <w:r>
        <w:rPr>
          <w:rFonts w:ascii="Arial" w:hAnsi="Arial" w:cs="Arial"/>
          <w:sz w:val="24"/>
          <w:szCs w:val="24"/>
          <w:lang w:eastAsia="en-GB"/>
        </w:rPr>
        <w:t xml:space="preserve">(“the scheme”) </w:t>
      </w:r>
      <w:r w:rsidRPr="005060F8">
        <w:rPr>
          <w:rFonts w:ascii="Arial" w:hAnsi="Arial" w:cs="Arial"/>
          <w:sz w:val="24"/>
          <w:szCs w:val="24"/>
          <w:lang w:eastAsia="en-GB"/>
        </w:rPr>
        <w:t xml:space="preserve">for determining priorities between qualifying persons. </w:t>
      </w:r>
      <w:r w:rsidRPr="005060F8">
        <w:rPr>
          <w:rFonts w:ascii="Arial" w:hAnsi="Arial" w:cs="Arial"/>
          <w:sz w:val="24"/>
          <w:szCs w:val="24"/>
        </w:rPr>
        <w:t>Th</w:t>
      </w:r>
      <w:r>
        <w:rPr>
          <w:rFonts w:ascii="Arial" w:hAnsi="Arial" w:cs="Arial"/>
          <w:sz w:val="24"/>
          <w:szCs w:val="24"/>
        </w:rPr>
        <w:t xml:space="preserve">is is </w:t>
      </w:r>
      <w:r w:rsidRPr="005060F8">
        <w:rPr>
          <w:rFonts w:ascii="Arial" w:hAnsi="Arial" w:cs="Arial"/>
          <w:sz w:val="24"/>
          <w:szCs w:val="24"/>
        </w:rPr>
        <w:t>a statut</w:t>
      </w:r>
      <w:r>
        <w:rPr>
          <w:rFonts w:ascii="Arial" w:hAnsi="Arial" w:cs="Arial"/>
          <w:sz w:val="24"/>
          <w:szCs w:val="24"/>
        </w:rPr>
        <w:t xml:space="preserve">ory requirement.  </w:t>
      </w:r>
      <w:r w:rsidRPr="005060F8">
        <w:rPr>
          <w:rFonts w:ascii="Arial" w:hAnsi="Arial" w:cs="Arial"/>
          <w:sz w:val="24"/>
          <w:szCs w:val="24"/>
          <w:lang w:val="en"/>
        </w:rPr>
        <w:t xml:space="preserve">It is best practice to review the </w:t>
      </w:r>
      <w:r>
        <w:rPr>
          <w:rFonts w:ascii="Arial" w:hAnsi="Arial" w:cs="Arial"/>
          <w:sz w:val="24"/>
          <w:szCs w:val="24"/>
          <w:lang w:val="en"/>
        </w:rPr>
        <w:t>s</w:t>
      </w:r>
      <w:r w:rsidRPr="005060F8">
        <w:rPr>
          <w:rFonts w:ascii="Arial" w:hAnsi="Arial" w:cs="Arial"/>
          <w:sz w:val="24"/>
          <w:szCs w:val="24"/>
          <w:lang w:val="en"/>
        </w:rPr>
        <w:t xml:space="preserve">chemes </w:t>
      </w:r>
      <w:r w:rsidR="00B84878">
        <w:rPr>
          <w:rFonts w:ascii="Arial" w:hAnsi="Arial" w:cs="Arial"/>
          <w:sz w:val="24"/>
          <w:szCs w:val="24"/>
          <w:lang w:val="en"/>
        </w:rPr>
        <w:t>regularly</w:t>
      </w:r>
      <w:r>
        <w:rPr>
          <w:rFonts w:ascii="Arial" w:hAnsi="Arial" w:cs="Arial"/>
          <w:sz w:val="24"/>
          <w:szCs w:val="24"/>
          <w:lang w:val="en"/>
        </w:rPr>
        <w:t xml:space="preserve"> (i.e. </w:t>
      </w:r>
      <w:r w:rsidRPr="00741A57">
        <w:rPr>
          <w:rStyle w:val="Strong"/>
          <w:rFonts w:ascii="Arial" w:hAnsi="Arial" w:cs="Arial"/>
          <w:b w:val="0"/>
          <w:sz w:val="24"/>
          <w:szCs w:val="24"/>
          <w:lang w:val="en"/>
        </w:rPr>
        <w:t>every few years</w:t>
      </w:r>
      <w:r>
        <w:rPr>
          <w:rStyle w:val="Strong"/>
          <w:rFonts w:ascii="Arial" w:hAnsi="Arial" w:cs="Arial"/>
          <w:b w:val="0"/>
          <w:sz w:val="24"/>
          <w:szCs w:val="24"/>
          <w:lang w:val="en"/>
        </w:rPr>
        <w:t>)</w:t>
      </w:r>
      <w:r w:rsidRPr="005060F8">
        <w:rPr>
          <w:rFonts w:ascii="Arial" w:hAnsi="Arial" w:cs="Arial"/>
          <w:sz w:val="24"/>
          <w:szCs w:val="24"/>
          <w:lang w:val="en"/>
        </w:rPr>
        <w:t xml:space="preserve"> to ensure compliance with the law and good practice and that the scheme is addressing ho</w:t>
      </w:r>
      <w:r>
        <w:rPr>
          <w:rFonts w:ascii="Arial" w:hAnsi="Arial" w:cs="Arial"/>
          <w:sz w:val="24"/>
          <w:szCs w:val="24"/>
          <w:lang w:val="en"/>
        </w:rPr>
        <w:t xml:space="preserve">using need effectively.  </w:t>
      </w:r>
    </w:p>
    <w:p w14:paraId="3E9678D6" w14:textId="77777777" w:rsidR="00F35AC9" w:rsidRDefault="00F35AC9" w:rsidP="00F35AC9">
      <w:pPr>
        <w:pStyle w:val="NoSpacing"/>
        <w:jc w:val="both"/>
        <w:rPr>
          <w:rFonts w:ascii="Arial" w:hAnsi="Arial" w:cs="Arial"/>
          <w:sz w:val="24"/>
          <w:szCs w:val="24"/>
          <w:lang w:eastAsia="en-GB"/>
        </w:rPr>
      </w:pPr>
    </w:p>
    <w:p w14:paraId="2DA67366" w14:textId="77777777" w:rsidR="00F35AC9" w:rsidRPr="005060F8" w:rsidRDefault="00F35AC9" w:rsidP="00F35AC9">
      <w:pPr>
        <w:pStyle w:val="NoSpacing"/>
        <w:jc w:val="both"/>
        <w:rPr>
          <w:rFonts w:ascii="Arial" w:hAnsi="Arial" w:cs="Arial"/>
          <w:sz w:val="24"/>
          <w:szCs w:val="24"/>
          <w:lang w:eastAsia="en-GB"/>
        </w:rPr>
      </w:pPr>
      <w:r>
        <w:rPr>
          <w:rFonts w:ascii="Arial" w:hAnsi="Arial" w:cs="Arial"/>
          <w:sz w:val="24"/>
          <w:szCs w:val="24"/>
          <w:lang w:eastAsia="en-GB"/>
        </w:rPr>
        <w:t>I</w:t>
      </w:r>
      <w:r w:rsidRPr="005060F8">
        <w:rPr>
          <w:rFonts w:ascii="Arial" w:hAnsi="Arial" w:cs="Arial"/>
          <w:sz w:val="24"/>
          <w:szCs w:val="24"/>
          <w:lang w:eastAsia="en-GB"/>
        </w:rPr>
        <w:t xml:space="preserve">n formulating or amending its scheme, a </w:t>
      </w:r>
      <w:r>
        <w:rPr>
          <w:rFonts w:ascii="Arial" w:hAnsi="Arial" w:cs="Arial"/>
          <w:sz w:val="24"/>
          <w:szCs w:val="24"/>
          <w:lang w:eastAsia="en-GB"/>
        </w:rPr>
        <w:t xml:space="preserve">local housing authority </w:t>
      </w:r>
      <w:r w:rsidRPr="005060F8">
        <w:rPr>
          <w:rFonts w:ascii="Arial" w:hAnsi="Arial" w:cs="Arial"/>
          <w:sz w:val="24"/>
          <w:szCs w:val="24"/>
          <w:lang w:eastAsia="en-GB"/>
        </w:rPr>
        <w:t xml:space="preserve">must have regard to its current homelessness strategy under section 1 of the Homelessness Act 2002. </w:t>
      </w:r>
      <w:r>
        <w:rPr>
          <w:rFonts w:ascii="Arial" w:hAnsi="Arial" w:cs="Arial"/>
          <w:sz w:val="24"/>
          <w:szCs w:val="24"/>
          <w:lang w:eastAsia="en-GB"/>
        </w:rPr>
        <w:t xml:space="preserve">The </w:t>
      </w:r>
      <w:r w:rsidRPr="005060F8">
        <w:rPr>
          <w:rFonts w:ascii="Arial" w:hAnsi="Arial" w:cs="Arial"/>
          <w:sz w:val="24"/>
          <w:szCs w:val="24"/>
          <w:lang w:eastAsia="en-GB"/>
        </w:rPr>
        <w:t>scheme may be framed to give additional preference to particular descriptions of people (section 166</w:t>
      </w:r>
      <w:proofErr w:type="gramStart"/>
      <w:r w:rsidRPr="005060F8">
        <w:rPr>
          <w:rFonts w:ascii="Arial" w:hAnsi="Arial" w:cs="Arial"/>
          <w:sz w:val="24"/>
          <w:szCs w:val="24"/>
          <w:lang w:eastAsia="en-GB"/>
        </w:rPr>
        <w:t>A(</w:t>
      </w:r>
      <w:proofErr w:type="gramEnd"/>
      <w:r w:rsidRPr="005060F8">
        <w:rPr>
          <w:rFonts w:ascii="Arial" w:hAnsi="Arial" w:cs="Arial"/>
          <w:sz w:val="24"/>
          <w:szCs w:val="24"/>
          <w:lang w:eastAsia="en-GB"/>
        </w:rPr>
        <w:t xml:space="preserve">5), HA 1996). However, a </w:t>
      </w:r>
      <w:r>
        <w:rPr>
          <w:rFonts w:ascii="Arial" w:hAnsi="Arial" w:cs="Arial"/>
          <w:sz w:val="24"/>
          <w:szCs w:val="24"/>
          <w:lang w:eastAsia="en-GB"/>
        </w:rPr>
        <w:t xml:space="preserve">local housing authority </w:t>
      </w:r>
      <w:r w:rsidRPr="005060F8">
        <w:rPr>
          <w:rFonts w:ascii="Arial" w:hAnsi="Arial" w:cs="Arial"/>
          <w:sz w:val="24"/>
          <w:szCs w:val="24"/>
          <w:lang w:eastAsia="en-GB"/>
        </w:rPr>
        <w:t>must not allocate housing accommodation except in accordance with its allocati</w:t>
      </w:r>
      <w:r>
        <w:rPr>
          <w:rFonts w:ascii="Arial" w:hAnsi="Arial" w:cs="Arial"/>
          <w:sz w:val="24"/>
          <w:szCs w:val="24"/>
          <w:lang w:eastAsia="en-GB"/>
        </w:rPr>
        <w:t>on scheme: section 166</w:t>
      </w:r>
      <w:proofErr w:type="gramStart"/>
      <w:r>
        <w:rPr>
          <w:rFonts w:ascii="Arial" w:hAnsi="Arial" w:cs="Arial"/>
          <w:sz w:val="24"/>
          <w:szCs w:val="24"/>
          <w:lang w:eastAsia="en-GB"/>
        </w:rPr>
        <w:t>A(</w:t>
      </w:r>
      <w:proofErr w:type="gramEnd"/>
      <w:r>
        <w:rPr>
          <w:rFonts w:ascii="Arial" w:hAnsi="Arial" w:cs="Arial"/>
          <w:sz w:val="24"/>
          <w:szCs w:val="24"/>
          <w:lang w:eastAsia="en-GB"/>
        </w:rPr>
        <w:t>1) HA 1996</w:t>
      </w:r>
      <w:r w:rsidRPr="005060F8">
        <w:rPr>
          <w:rFonts w:ascii="Arial" w:hAnsi="Arial" w:cs="Arial"/>
          <w:sz w:val="24"/>
          <w:szCs w:val="24"/>
          <w:lang w:eastAsia="en-GB"/>
        </w:rPr>
        <w:t>.</w:t>
      </w:r>
    </w:p>
    <w:p w14:paraId="65A5D8BC" w14:textId="77777777" w:rsidR="00F35AC9" w:rsidRPr="005060F8" w:rsidRDefault="00F35AC9" w:rsidP="00F35AC9">
      <w:pPr>
        <w:pStyle w:val="NoSpacing"/>
        <w:jc w:val="both"/>
        <w:rPr>
          <w:rFonts w:ascii="Arial" w:hAnsi="Arial" w:cs="Arial"/>
          <w:sz w:val="24"/>
          <w:szCs w:val="24"/>
          <w:lang w:eastAsia="en-GB"/>
        </w:rPr>
      </w:pPr>
    </w:p>
    <w:p w14:paraId="2678857B" w14:textId="77777777" w:rsidR="00F35AC9" w:rsidRDefault="00F35AC9" w:rsidP="00F35AC9">
      <w:pPr>
        <w:pStyle w:val="NoSpacing"/>
        <w:jc w:val="both"/>
        <w:rPr>
          <w:rFonts w:ascii="Arial" w:hAnsi="Arial" w:cs="Arial"/>
          <w:sz w:val="24"/>
          <w:szCs w:val="24"/>
          <w:lang w:eastAsia="en-GB"/>
        </w:rPr>
      </w:pPr>
      <w:r w:rsidRPr="005060F8">
        <w:rPr>
          <w:rFonts w:ascii="Arial" w:hAnsi="Arial" w:cs="Arial"/>
          <w:sz w:val="24"/>
          <w:szCs w:val="24"/>
          <w:lang w:eastAsia="en-GB"/>
        </w:rPr>
        <w:t>As a result of changes made by the L</w:t>
      </w:r>
      <w:r>
        <w:rPr>
          <w:rFonts w:ascii="Arial" w:hAnsi="Arial" w:cs="Arial"/>
          <w:sz w:val="24"/>
          <w:szCs w:val="24"/>
          <w:lang w:eastAsia="en-GB"/>
        </w:rPr>
        <w:t xml:space="preserve">ocalism </w:t>
      </w:r>
      <w:r w:rsidRPr="005060F8">
        <w:rPr>
          <w:rFonts w:ascii="Arial" w:hAnsi="Arial" w:cs="Arial"/>
          <w:sz w:val="24"/>
          <w:szCs w:val="24"/>
          <w:lang w:eastAsia="en-GB"/>
        </w:rPr>
        <w:t>A</w:t>
      </w:r>
      <w:r>
        <w:rPr>
          <w:rFonts w:ascii="Arial" w:hAnsi="Arial" w:cs="Arial"/>
          <w:sz w:val="24"/>
          <w:szCs w:val="24"/>
          <w:lang w:eastAsia="en-GB"/>
        </w:rPr>
        <w:t>ct</w:t>
      </w:r>
      <w:r w:rsidRPr="005060F8">
        <w:rPr>
          <w:rFonts w:ascii="Arial" w:hAnsi="Arial" w:cs="Arial"/>
          <w:sz w:val="24"/>
          <w:szCs w:val="24"/>
          <w:lang w:eastAsia="en-GB"/>
        </w:rPr>
        <w:t xml:space="preserve"> 2011, with effect from 18 June 2012, </w:t>
      </w:r>
      <w:r>
        <w:rPr>
          <w:rFonts w:ascii="Arial" w:hAnsi="Arial" w:cs="Arial"/>
          <w:sz w:val="24"/>
          <w:szCs w:val="24"/>
          <w:lang w:eastAsia="en-GB"/>
        </w:rPr>
        <w:t xml:space="preserve">local housing authorities </w:t>
      </w:r>
      <w:r w:rsidRPr="005060F8">
        <w:rPr>
          <w:rFonts w:ascii="Arial" w:hAnsi="Arial" w:cs="Arial"/>
          <w:sz w:val="24"/>
          <w:szCs w:val="24"/>
          <w:lang w:eastAsia="en-GB"/>
        </w:rPr>
        <w:t xml:space="preserve">have been able to decide who “qualifies” for an allocation. </w:t>
      </w:r>
      <w:r>
        <w:rPr>
          <w:rFonts w:ascii="Arial" w:hAnsi="Arial" w:cs="Arial"/>
          <w:sz w:val="24"/>
          <w:szCs w:val="24"/>
          <w:lang w:eastAsia="en-GB"/>
        </w:rPr>
        <w:t xml:space="preserve"> </w:t>
      </w:r>
      <w:r w:rsidRPr="005060F8">
        <w:rPr>
          <w:rFonts w:ascii="Arial" w:hAnsi="Arial" w:cs="Arial"/>
          <w:sz w:val="24"/>
          <w:szCs w:val="24"/>
          <w:lang w:eastAsia="en-GB"/>
        </w:rPr>
        <w:t>Accommodation can therefore only be allocated to someone who qualifies under t</w:t>
      </w:r>
      <w:r>
        <w:rPr>
          <w:rFonts w:ascii="Arial" w:hAnsi="Arial" w:cs="Arial"/>
          <w:sz w:val="24"/>
          <w:szCs w:val="24"/>
          <w:lang w:eastAsia="en-GB"/>
        </w:rPr>
        <w:t>hose local criteria (</w:t>
      </w:r>
      <w:r w:rsidRPr="005060F8">
        <w:rPr>
          <w:rFonts w:ascii="Arial" w:hAnsi="Arial" w:cs="Arial"/>
          <w:sz w:val="24"/>
          <w:szCs w:val="24"/>
          <w:lang w:eastAsia="en-GB"/>
        </w:rPr>
        <w:t>section 160</w:t>
      </w:r>
      <w:proofErr w:type="gramStart"/>
      <w:r w:rsidRPr="005060F8">
        <w:rPr>
          <w:rFonts w:ascii="Arial" w:hAnsi="Arial" w:cs="Arial"/>
          <w:sz w:val="24"/>
          <w:szCs w:val="24"/>
          <w:lang w:eastAsia="en-GB"/>
        </w:rPr>
        <w:t>ZA</w:t>
      </w:r>
      <w:r>
        <w:rPr>
          <w:rFonts w:ascii="Arial" w:hAnsi="Arial" w:cs="Arial"/>
          <w:sz w:val="24"/>
          <w:szCs w:val="24"/>
          <w:lang w:eastAsia="en-GB"/>
        </w:rPr>
        <w:t>(</w:t>
      </w:r>
      <w:proofErr w:type="gramEnd"/>
      <w:r>
        <w:rPr>
          <w:rFonts w:ascii="Arial" w:hAnsi="Arial" w:cs="Arial"/>
          <w:sz w:val="24"/>
          <w:szCs w:val="24"/>
          <w:lang w:eastAsia="en-GB"/>
        </w:rPr>
        <w:t>6)</w:t>
      </w:r>
      <w:r w:rsidRPr="005060F8">
        <w:rPr>
          <w:rFonts w:ascii="Arial" w:hAnsi="Arial" w:cs="Arial"/>
          <w:sz w:val="24"/>
          <w:szCs w:val="24"/>
          <w:lang w:eastAsia="en-GB"/>
        </w:rPr>
        <w:t xml:space="preserve"> H</w:t>
      </w:r>
      <w:r>
        <w:rPr>
          <w:rFonts w:ascii="Arial" w:hAnsi="Arial" w:cs="Arial"/>
          <w:sz w:val="24"/>
          <w:szCs w:val="24"/>
          <w:lang w:eastAsia="en-GB"/>
        </w:rPr>
        <w:t xml:space="preserve">ousing </w:t>
      </w:r>
      <w:r w:rsidRPr="005060F8">
        <w:rPr>
          <w:rFonts w:ascii="Arial" w:hAnsi="Arial" w:cs="Arial"/>
          <w:sz w:val="24"/>
          <w:szCs w:val="24"/>
          <w:lang w:eastAsia="en-GB"/>
        </w:rPr>
        <w:t>A</w:t>
      </w:r>
      <w:r>
        <w:rPr>
          <w:rFonts w:ascii="Arial" w:hAnsi="Arial" w:cs="Arial"/>
          <w:sz w:val="24"/>
          <w:szCs w:val="24"/>
          <w:lang w:eastAsia="en-GB"/>
        </w:rPr>
        <w:t>ct 1996) and local housing authorities can largely determine who qualifies (section 160ZA(7)</w:t>
      </w:r>
      <w:r w:rsidRPr="005060F8">
        <w:rPr>
          <w:rFonts w:ascii="Arial" w:hAnsi="Arial" w:cs="Arial"/>
          <w:sz w:val="24"/>
          <w:szCs w:val="24"/>
          <w:lang w:eastAsia="en-GB"/>
        </w:rPr>
        <w:t xml:space="preserve"> H</w:t>
      </w:r>
      <w:r>
        <w:rPr>
          <w:rFonts w:ascii="Arial" w:hAnsi="Arial" w:cs="Arial"/>
          <w:sz w:val="24"/>
          <w:szCs w:val="24"/>
          <w:lang w:eastAsia="en-GB"/>
        </w:rPr>
        <w:t xml:space="preserve">ousing </w:t>
      </w:r>
      <w:r w:rsidRPr="005060F8">
        <w:rPr>
          <w:rFonts w:ascii="Arial" w:hAnsi="Arial" w:cs="Arial"/>
          <w:sz w:val="24"/>
          <w:szCs w:val="24"/>
          <w:lang w:eastAsia="en-GB"/>
        </w:rPr>
        <w:t>A</w:t>
      </w:r>
      <w:r>
        <w:rPr>
          <w:rFonts w:ascii="Arial" w:hAnsi="Arial" w:cs="Arial"/>
          <w:sz w:val="24"/>
          <w:szCs w:val="24"/>
          <w:lang w:eastAsia="en-GB"/>
        </w:rPr>
        <w:t>ct 1996)</w:t>
      </w:r>
      <w:r w:rsidRPr="005060F8">
        <w:rPr>
          <w:rFonts w:ascii="Arial" w:hAnsi="Arial" w:cs="Arial"/>
          <w:sz w:val="24"/>
          <w:szCs w:val="24"/>
          <w:lang w:eastAsia="en-GB"/>
        </w:rPr>
        <w:t xml:space="preserve">. </w:t>
      </w:r>
      <w:r>
        <w:rPr>
          <w:rFonts w:ascii="Arial" w:hAnsi="Arial" w:cs="Arial"/>
          <w:sz w:val="24"/>
          <w:szCs w:val="24"/>
          <w:lang w:eastAsia="en-GB"/>
        </w:rPr>
        <w:t xml:space="preserve"> </w:t>
      </w:r>
      <w:r w:rsidRPr="005060F8">
        <w:rPr>
          <w:rFonts w:ascii="Arial" w:hAnsi="Arial" w:cs="Arial"/>
          <w:sz w:val="24"/>
          <w:szCs w:val="24"/>
          <w:lang w:eastAsia="en-GB"/>
        </w:rPr>
        <w:t>The Secretary of State does however have the power to prescribe classes of persons who are, or are not, to be treated as qualifying perso</w:t>
      </w:r>
      <w:r>
        <w:rPr>
          <w:rFonts w:ascii="Arial" w:hAnsi="Arial" w:cs="Arial"/>
          <w:sz w:val="24"/>
          <w:szCs w:val="24"/>
          <w:lang w:eastAsia="en-GB"/>
        </w:rPr>
        <w:t>ns: section 160</w:t>
      </w:r>
      <w:proofErr w:type="gramStart"/>
      <w:r>
        <w:rPr>
          <w:rFonts w:ascii="Arial" w:hAnsi="Arial" w:cs="Arial"/>
          <w:sz w:val="24"/>
          <w:szCs w:val="24"/>
          <w:lang w:eastAsia="en-GB"/>
        </w:rPr>
        <w:t>ZA(</w:t>
      </w:r>
      <w:proofErr w:type="gramEnd"/>
      <w:r>
        <w:rPr>
          <w:rFonts w:ascii="Arial" w:hAnsi="Arial" w:cs="Arial"/>
          <w:sz w:val="24"/>
          <w:szCs w:val="24"/>
          <w:lang w:eastAsia="en-GB"/>
        </w:rPr>
        <w:t>8)</w:t>
      </w:r>
      <w:r w:rsidRPr="005060F8">
        <w:rPr>
          <w:rFonts w:ascii="Arial" w:hAnsi="Arial" w:cs="Arial"/>
          <w:sz w:val="24"/>
          <w:szCs w:val="24"/>
          <w:lang w:eastAsia="en-GB"/>
        </w:rPr>
        <w:t xml:space="preserve"> H</w:t>
      </w:r>
      <w:r>
        <w:rPr>
          <w:rFonts w:ascii="Arial" w:hAnsi="Arial" w:cs="Arial"/>
          <w:sz w:val="24"/>
          <w:szCs w:val="24"/>
          <w:lang w:eastAsia="en-GB"/>
        </w:rPr>
        <w:t xml:space="preserve">ousing </w:t>
      </w:r>
      <w:r w:rsidRPr="005060F8">
        <w:rPr>
          <w:rFonts w:ascii="Arial" w:hAnsi="Arial" w:cs="Arial"/>
          <w:sz w:val="24"/>
          <w:szCs w:val="24"/>
          <w:lang w:eastAsia="en-GB"/>
        </w:rPr>
        <w:t>A</w:t>
      </w:r>
      <w:r>
        <w:rPr>
          <w:rFonts w:ascii="Arial" w:hAnsi="Arial" w:cs="Arial"/>
          <w:sz w:val="24"/>
          <w:szCs w:val="24"/>
          <w:lang w:eastAsia="en-GB"/>
        </w:rPr>
        <w:t>ct 1996</w:t>
      </w:r>
      <w:r w:rsidRPr="005060F8">
        <w:rPr>
          <w:rFonts w:ascii="Arial" w:hAnsi="Arial" w:cs="Arial"/>
          <w:sz w:val="24"/>
          <w:szCs w:val="24"/>
          <w:lang w:eastAsia="en-GB"/>
        </w:rPr>
        <w:t xml:space="preserve">. </w:t>
      </w:r>
    </w:p>
    <w:p w14:paraId="78A589B6" w14:textId="77777777" w:rsidR="00F35AC9" w:rsidRDefault="00F35AC9" w:rsidP="00F35AC9">
      <w:pPr>
        <w:pStyle w:val="NoSpacing"/>
        <w:jc w:val="both"/>
        <w:rPr>
          <w:rFonts w:ascii="Arial" w:hAnsi="Arial" w:cs="Arial"/>
          <w:sz w:val="24"/>
          <w:szCs w:val="24"/>
          <w:lang w:eastAsia="en-GB"/>
        </w:rPr>
      </w:pPr>
    </w:p>
    <w:p w14:paraId="01A0F6A5" w14:textId="77777777" w:rsidR="00F35AC9" w:rsidRDefault="00F35AC9" w:rsidP="00F35AC9">
      <w:pPr>
        <w:pStyle w:val="NoSpacing"/>
        <w:jc w:val="both"/>
        <w:rPr>
          <w:rFonts w:ascii="Arial" w:hAnsi="Arial" w:cs="Arial"/>
          <w:sz w:val="24"/>
          <w:szCs w:val="24"/>
          <w:lang w:eastAsia="en-GB"/>
        </w:rPr>
      </w:pPr>
      <w:r w:rsidRPr="005060F8">
        <w:rPr>
          <w:rFonts w:ascii="Arial" w:hAnsi="Arial" w:cs="Arial"/>
          <w:sz w:val="24"/>
          <w:szCs w:val="24"/>
          <w:lang w:eastAsia="en-GB"/>
        </w:rPr>
        <w:t xml:space="preserve">Where changes are to be made to </w:t>
      </w:r>
      <w:r>
        <w:rPr>
          <w:rFonts w:ascii="Arial" w:hAnsi="Arial" w:cs="Arial"/>
          <w:sz w:val="24"/>
          <w:szCs w:val="24"/>
          <w:lang w:eastAsia="en-GB"/>
        </w:rPr>
        <w:t xml:space="preserve">the </w:t>
      </w:r>
      <w:r w:rsidRPr="005060F8">
        <w:rPr>
          <w:rFonts w:ascii="Arial" w:hAnsi="Arial" w:cs="Arial"/>
          <w:sz w:val="24"/>
          <w:szCs w:val="24"/>
          <w:lang w:eastAsia="en-GB"/>
        </w:rPr>
        <w:t>scheme</w:t>
      </w:r>
      <w:r>
        <w:rPr>
          <w:rFonts w:ascii="Arial" w:hAnsi="Arial" w:cs="Arial"/>
          <w:sz w:val="24"/>
          <w:szCs w:val="24"/>
          <w:lang w:eastAsia="en-GB"/>
        </w:rPr>
        <w:t>,</w:t>
      </w:r>
      <w:r w:rsidRPr="005060F8">
        <w:rPr>
          <w:rFonts w:ascii="Arial" w:hAnsi="Arial" w:cs="Arial"/>
          <w:sz w:val="24"/>
          <w:szCs w:val="24"/>
          <w:lang w:eastAsia="en-GB"/>
        </w:rPr>
        <w:t xml:space="preserve"> it is a requirement to consult with those affecte</w:t>
      </w:r>
      <w:r>
        <w:rPr>
          <w:rFonts w:ascii="Arial" w:hAnsi="Arial" w:cs="Arial"/>
          <w:sz w:val="24"/>
          <w:szCs w:val="24"/>
          <w:lang w:eastAsia="en-GB"/>
        </w:rPr>
        <w:t xml:space="preserve">d by the </w:t>
      </w:r>
      <w:proofErr w:type="gramStart"/>
      <w:r>
        <w:rPr>
          <w:rFonts w:ascii="Arial" w:hAnsi="Arial" w:cs="Arial"/>
          <w:sz w:val="24"/>
          <w:szCs w:val="24"/>
          <w:lang w:eastAsia="en-GB"/>
        </w:rPr>
        <w:t xml:space="preserve">changes </w:t>
      </w:r>
      <w:r w:rsidRPr="005060F8">
        <w:rPr>
          <w:rFonts w:ascii="Arial" w:hAnsi="Arial" w:cs="Arial"/>
          <w:sz w:val="24"/>
          <w:szCs w:val="24"/>
          <w:lang w:eastAsia="en-GB"/>
        </w:rPr>
        <w:t xml:space="preserve"> including</w:t>
      </w:r>
      <w:proofErr w:type="gramEnd"/>
      <w:r w:rsidRPr="005060F8">
        <w:rPr>
          <w:rFonts w:ascii="Arial" w:hAnsi="Arial" w:cs="Arial"/>
          <w:sz w:val="24"/>
          <w:szCs w:val="24"/>
          <w:lang w:eastAsia="en-GB"/>
        </w:rPr>
        <w:t xml:space="preserve"> Registered Providers.</w:t>
      </w:r>
    </w:p>
    <w:p w14:paraId="1722BE3C" w14:textId="77777777" w:rsidR="00F35AC9" w:rsidRDefault="00F35AC9" w:rsidP="00F35AC9">
      <w:pPr>
        <w:pStyle w:val="NoSpacing"/>
        <w:jc w:val="both"/>
        <w:rPr>
          <w:rFonts w:ascii="Arial" w:hAnsi="Arial" w:cs="Arial"/>
          <w:sz w:val="24"/>
          <w:szCs w:val="24"/>
          <w:lang w:eastAsia="en-GB"/>
        </w:rPr>
      </w:pPr>
    </w:p>
    <w:p w14:paraId="2AE8B04F" w14:textId="77777777" w:rsidR="00F35AC9" w:rsidRDefault="00F35AC9" w:rsidP="00F35AC9">
      <w:pPr>
        <w:pStyle w:val="NoSpacing"/>
        <w:jc w:val="both"/>
        <w:rPr>
          <w:rFonts w:ascii="Arial" w:hAnsi="Arial" w:cs="Arial"/>
          <w:b/>
          <w:sz w:val="24"/>
          <w:szCs w:val="24"/>
          <w:u w:val="single"/>
        </w:rPr>
      </w:pPr>
      <w:r w:rsidRPr="002415BA">
        <w:rPr>
          <w:rFonts w:ascii="Arial" w:hAnsi="Arial" w:cs="Arial"/>
          <w:b/>
          <w:sz w:val="24"/>
          <w:szCs w:val="24"/>
          <w:u w:val="single"/>
        </w:rPr>
        <w:lastRenderedPageBreak/>
        <w:t>The Tenancy Strategy</w:t>
      </w:r>
      <w:r>
        <w:rPr>
          <w:rFonts w:ascii="Arial" w:hAnsi="Arial" w:cs="Arial"/>
          <w:b/>
          <w:sz w:val="24"/>
          <w:szCs w:val="24"/>
          <w:u w:val="single"/>
        </w:rPr>
        <w:t xml:space="preserve"> and Policy</w:t>
      </w:r>
    </w:p>
    <w:p w14:paraId="3BC081A2" w14:textId="77777777" w:rsidR="00F35AC9" w:rsidRPr="002415BA" w:rsidRDefault="00F35AC9" w:rsidP="00F35AC9">
      <w:pPr>
        <w:pStyle w:val="NoSpacing"/>
        <w:jc w:val="both"/>
        <w:rPr>
          <w:rFonts w:ascii="Arial" w:hAnsi="Arial" w:cs="Arial"/>
          <w:sz w:val="24"/>
          <w:szCs w:val="24"/>
          <w:lang w:eastAsia="en-GB"/>
        </w:rPr>
      </w:pPr>
    </w:p>
    <w:p w14:paraId="6339E526" w14:textId="77777777" w:rsidR="00F35AC9" w:rsidRDefault="00F35AC9" w:rsidP="00F35AC9">
      <w:pPr>
        <w:pStyle w:val="NoSpacing"/>
        <w:jc w:val="both"/>
        <w:rPr>
          <w:rFonts w:ascii="Arial" w:hAnsi="Arial" w:cs="Arial"/>
          <w:sz w:val="24"/>
          <w:szCs w:val="24"/>
          <w:lang w:eastAsia="en-GB"/>
        </w:rPr>
      </w:pPr>
      <w:r w:rsidRPr="002415BA">
        <w:rPr>
          <w:rFonts w:ascii="Arial" w:hAnsi="Arial" w:cs="Arial"/>
          <w:sz w:val="24"/>
          <w:szCs w:val="24"/>
        </w:rPr>
        <w:t xml:space="preserve">The Tenancy Strategy and the Tenancy Policy </w:t>
      </w:r>
      <w:r w:rsidRPr="002415BA">
        <w:rPr>
          <w:rFonts w:ascii="Arial" w:hAnsi="Arial" w:cs="Arial"/>
          <w:sz w:val="24"/>
          <w:szCs w:val="24"/>
          <w:lang w:eastAsia="en-GB"/>
        </w:rPr>
        <w:t>should also be reviewed and updated to ensure compliance with changes to legislation and statutory guidance.</w:t>
      </w:r>
    </w:p>
    <w:p w14:paraId="3F18DB4A" w14:textId="77777777" w:rsidR="00F35AC9" w:rsidRDefault="00F35AC9" w:rsidP="00F35AC9">
      <w:pPr>
        <w:pStyle w:val="NoSpacing"/>
        <w:jc w:val="both"/>
        <w:rPr>
          <w:rFonts w:ascii="Arial" w:hAnsi="Arial" w:cs="Arial"/>
          <w:sz w:val="24"/>
          <w:szCs w:val="24"/>
          <w:lang w:eastAsia="en-GB"/>
        </w:rPr>
      </w:pPr>
    </w:p>
    <w:p w14:paraId="37A182B8" w14:textId="77777777" w:rsidR="00F35AC9" w:rsidRPr="009E6B80" w:rsidRDefault="00F35AC9" w:rsidP="00F35AC9">
      <w:pPr>
        <w:pStyle w:val="NoSpacing"/>
        <w:jc w:val="both"/>
        <w:rPr>
          <w:rFonts w:ascii="Arial" w:hAnsi="Arial" w:cs="Arial"/>
          <w:b/>
          <w:sz w:val="24"/>
          <w:szCs w:val="24"/>
          <w:u w:val="single"/>
        </w:rPr>
      </w:pPr>
      <w:r>
        <w:rPr>
          <w:rFonts w:ascii="Arial" w:hAnsi="Arial" w:cs="Arial"/>
          <w:b/>
          <w:sz w:val="24"/>
          <w:szCs w:val="24"/>
          <w:u w:val="single"/>
        </w:rPr>
        <w:t xml:space="preserve">Ending </w:t>
      </w:r>
      <w:r w:rsidRPr="009E6B80">
        <w:rPr>
          <w:rFonts w:ascii="Arial" w:hAnsi="Arial" w:cs="Arial"/>
          <w:b/>
          <w:sz w:val="24"/>
          <w:szCs w:val="24"/>
          <w:u w:val="single"/>
        </w:rPr>
        <w:t>the use of flexible tenancies</w:t>
      </w:r>
    </w:p>
    <w:p w14:paraId="4A20A8B5" w14:textId="77777777" w:rsidR="00F35AC9" w:rsidRPr="009E6B80" w:rsidRDefault="00F35AC9" w:rsidP="00F35AC9">
      <w:pPr>
        <w:pStyle w:val="NoSpacing"/>
        <w:jc w:val="both"/>
        <w:rPr>
          <w:rFonts w:ascii="Arial" w:hAnsi="Arial" w:cs="Arial"/>
          <w:sz w:val="24"/>
          <w:szCs w:val="24"/>
        </w:rPr>
      </w:pPr>
    </w:p>
    <w:p w14:paraId="61F4F5C1" w14:textId="77777777" w:rsidR="00F35AC9" w:rsidRPr="009E6B80" w:rsidRDefault="00F35AC9" w:rsidP="00F35AC9">
      <w:pPr>
        <w:pStyle w:val="NoSpacing"/>
        <w:jc w:val="both"/>
        <w:rPr>
          <w:rFonts w:ascii="Arial" w:hAnsi="Arial" w:cs="Arial"/>
          <w:sz w:val="24"/>
          <w:szCs w:val="24"/>
        </w:rPr>
      </w:pPr>
      <w:r w:rsidRPr="009E6B80">
        <w:rPr>
          <w:rFonts w:ascii="Arial" w:hAnsi="Arial" w:cs="Arial"/>
          <w:sz w:val="24"/>
          <w:szCs w:val="24"/>
        </w:rPr>
        <w:t xml:space="preserve">Since the Localism Act 2011 came into force on 01 April 2012, local housing authorities have had discretion not to offer a “lifetime” tenancy to a new tenant.  The </w:t>
      </w:r>
      <w:r>
        <w:rPr>
          <w:rFonts w:ascii="Arial" w:hAnsi="Arial" w:cs="Arial"/>
          <w:sz w:val="24"/>
          <w:szCs w:val="24"/>
        </w:rPr>
        <w:t xml:space="preserve">Localism Act </w:t>
      </w:r>
      <w:r w:rsidRPr="009E6B80">
        <w:rPr>
          <w:rFonts w:ascii="Arial" w:hAnsi="Arial" w:cs="Arial"/>
          <w:sz w:val="24"/>
          <w:szCs w:val="24"/>
        </w:rPr>
        <w:t xml:space="preserve">2011 introduced a power for local </w:t>
      </w:r>
      <w:r>
        <w:rPr>
          <w:rFonts w:ascii="Arial" w:hAnsi="Arial" w:cs="Arial"/>
          <w:sz w:val="24"/>
          <w:szCs w:val="24"/>
        </w:rPr>
        <w:t xml:space="preserve">housing </w:t>
      </w:r>
      <w:r w:rsidRPr="009E6B80">
        <w:rPr>
          <w:rFonts w:ascii="Arial" w:hAnsi="Arial" w:cs="Arial"/>
          <w:sz w:val="24"/>
          <w:szCs w:val="24"/>
        </w:rPr>
        <w:t xml:space="preserve">authorities to offer “flexible tenancies” to new social tenants.  Flexible tenancies are secure fixed-term tenancies with a minimum term of two years. It was intended to give local </w:t>
      </w:r>
      <w:r>
        <w:rPr>
          <w:rFonts w:ascii="Arial" w:hAnsi="Arial" w:cs="Arial"/>
          <w:sz w:val="24"/>
          <w:szCs w:val="24"/>
        </w:rPr>
        <w:t xml:space="preserve">housing </w:t>
      </w:r>
      <w:r w:rsidRPr="009E6B80">
        <w:rPr>
          <w:rFonts w:ascii="Arial" w:hAnsi="Arial" w:cs="Arial"/>
          <w:sz w:val="24"/>
          <w:szCs w:val="24"/>
        </w:rPr>
        <w:t xml:space="preserve">authorities and housing associations greater freedom to manage their housing stock, ensure that social housing is allocated to those who need it most, and to ensure that lifetime tenancies are not given to tenants irrespective of how their circumstances might change in the future.   </w:t>
      </w:r>
    </w:p>
    <w:p w14:paraId="0D84CA54" w14:textId="77777777" w:rsidR="00F35AC9" w:rsidRPr="009E6B80" w:rsidRDefault="00F35AC9" w:rsidP="00F35AC9">
      <w:pPr>
        <w:pStyle w:val="NoSpacing"/>
        <w:jc w:val="both"/>
        <w:rPr>
          <w:rFonts w:ascii="Arial" w:hAnsi="Arial" w:cs="Arial"/>
          <w:sz w:val="24"/>
          <w:szCs w:val="24"/>
        </w:rPr>
      </w:pPr>
    </w:p>
    <w:p w14:paraId="3A52AA7E" w14:textId="77777777" w:rsidR="00F35AC9" w:rsidRPr="00FC7DD0" w:rsidRDefault="00F35AC9" w:rsidP="00F35AC9">
      <w:pPr>
        <w:pStyle w:val="NoSpacing"/>
        <w:jc w:val="both"/>
        <w:rPr>
          <w:rStyle w:val="Strong"/>
          <w:rFonts w:ascii="Arial" w:hAnsi="Arial" w:cs="Arial"/>
          <w:b w:val="0"/>
          <w:bCs w:val="0"/>
          <w:sz w:val="24"/>
          <w:szCs w:val="24"/>
        </w:rPr>
      </w:pPr>
      <w:r w:rsidRPr="009E6B80">
        <w:rPr>
          <w:rFonts w:ascii="Arial" w:hAnsi="Arial" w:cs="Arial"/>
          <w:sz w:val="24"/>
          <w:szCs w:val="24"/>
        </w:rPr>
        <w:t xml:space="preserve">The Housing and Planning Act 2016 contains provisions which would limit local housing authorities’ ability to offer longer-term tenancies in certain circumstances.  The aim was to phase out lifetime tenancies.  However, in August 2018 the government announced that </w:t>
      </w:r>
      <w:r w:rsidRPr="00FC7DD0">
        <w:rPr>
          <w:rStyle w:val="Strong"/>
          <w:rFonts w:ascii="Arial" w:hAnsi="Arial" w:cs="Arial"/>
          <w:b w:val="0"/>
          <w:bCs w:val="0"/>
          <w:sz w:val="24"/>
          <w:szCs w:val="24"/>
        </w:rPr>
        <w:t>it will not implement these provisions “at this time”.</w:t>
      </w:r>
    </w:p>
    <w:p w14:paraId="10638389" w14:textId="77777777" w:rsidR="00F35AC9" w:rsidRPr="009E6B80" w:rsidRDefault="00F35AC9" w:rsidP="00F35AC9">
      <w:pPr>
        <w:pStyle w:val="NoSpacing"/>
        <w:jc w:val="both"/>
        <w:rPr>
          <w:rStyle w:val="Strong"/>
          <w:rFonts w:ascii="Arial" w:hAnsi="Arial" w:cs="Arial"/>
          <w:sz w:val="24"/>
          <w:szCs w:val="24"/>
        </w:rPr>
      </w:pPr>
    </w:p>
    <w:p w14:paraId="63D892AB" w14:textId="535B734C" w:rsidR="00F35AC9" w:rsidRDefault="00F35AC9" w:rsidP="00D80CC8">
      <w:pPr>
        <w:jc w:val="both"/>
        <w:rPr>
          <w:rFonts w:cs="Arial"/>
          <w:szCs w:val="24"/>
          <w:lang w:eastAsia="en-GB"/>
        </w:rPr>
      </w:pPr>
      <w:r w:rsidRPr="009E6B80">
        <w:rPr>
          <w:rFonts w:cs="Arial"/>
          <w:szCs w:val="24"/>
        </w:rPr>
        <w:t xml:space="preserve">The current position is that local housing authorities still have discretion over </w:t>
      </w:r>
      <w:proofErr w:type="gramStart"/>
      <w:r w:rsidRPr="009E6B80">
        <w:rPr>
          <w:rFonts w:cs="Arial"/>
          <w:szCs w:val="24"/>
        </w:rPr>
        <w:t>whether or not</w:t>
      </w:r>
      <w:proofErr w:type="gramEnd"/>
      <w:r w:rsidRPr="009E6B80">
        <w:rPr>
          <w:rFonts w:cs="Arial"/>
          <w:szCs w:val="24"/>
        </w:rPr>
        <w:t xml:space="preserve"> to offer a flexible tenancy.  Therefore, it is not mandatory for </w:t>
      </w:r>
      <w:r>
        <w:rPr>
          <w:rFonts w:cs="Arial"/>
          <w:szCs w:val="24"/>
        </w:rPr>
        <w:t xml:space="preserve">Harrow </w:t>
      </w:r>
      <w:r w:rsidRPr="009E6B80">
        <w:rPr>
          <w:rFonts w:cs="Arial"/>
          <w:szCs w:val="24"/>
        </w:rPr>
        <w:t>Council to offer flexible tenancies.</w:t>
      </w:r>
      <w:r>
        <w:rPr>
          <w:rFonts w:cs="Arial"/>
          <w:szCs w:val="24"/>
        </w:rPr>
        <w:t xml:space="preserve">  </w:t>
      </w:r>
      <w:r w:rsidRPr="00267670">
        <w:rPr>
          <w:rFonts w:cs="Arial"/>
          <w:szCs w:val="24"/>
          <w:lang w:eastAsia="en-GB"/>
        </w:rPr>
        <w:t xml:space="preserve">Consultation has been carried out </w:t>
      </w:r>
      <w:r>
        <w:rPr>
          <w:rFonts w:cs="Arial"/>
          <w:szCs w:val="24"/>
          <w:lang w:eastAsia="en-GB"/>
        </w:rPr>
        <w:t>with a range of stakeholders.</w:t>
      </w:r>
    </w:p>
    <w:p w14:paraId="61DC73EF" w14:textId="77777777" w:rsidR="00333FAA" w:rsidRDefault="00333FAA" w:rsidP="00D80CC8">
      <w:pPr>
        <w:pStyle w:val="Heading3"/>
        <w:spacing w:before="480" w:after="240"/>
      </w:pPr>
      <w:r>
        <w:t>Financial Implications</w:t>
      </w:r>
    </w:p>
    <w:p w14:paraId="4D0CDF5F" w14:textId="77777777" w:rsidR="00A52968" w:rsidRDefault="00A52968" w:rsidP="00D80CC8">
      <w:pPr>
        <w:jc w:val="both"/>
        <w:rPr>
          <w:b/>
          <w:bCs/>
          <w:szCs w:val="24"/>
        </w:rPr>
      </w:pPr>
      <w:r>
        <w:rPr>
          <w:b/>
          <w:bCs/>
          <w:szCs w:val="24"/>
        </w:rPr>
        <w:t>Housing Allocation Scheme</w:t>
      </w:r>
    </w:p>
    <w:p w14:paraId="01E21BD4" w14:textId="77777777" w:rsidR="00A52968" w:rsidRDefault="00A52968" w:rsidP="00D80CC8">
      <w:pPr>
        <w:jc w:val="both"/>
        <w:rPr>
          <w:szCs w:val="24"/>
        </w:rPr>
      </w:pPr>
    </w:p>
    <w:p w14:paraId="5A523F19" w14:textId="77777777" w:rsidR="00A52968" w:rsidRDefault="00A52968" w:rsidP="00D80CC8">
      <w:pPr>
        <w:pStyle w:val="Heading3"/>
        <w:ind w:left="0" w:firstLine="0"/>
        <w:rPr>
          <w:b w:val="0"/>
          <w:bCs w:val="0"/>
          <w:sz w:val="24"/>
          <w:szCs w:val="24"/>
        </w:rPr>
      </w:pPr>
      <w:r>
        <w:rPr>
          <w:b w:val="0"/>
          <w:bCs w:val="0"/>
          <w:sz w:val="24"/>
          <w:szCs w:val="24"/>
        </w:rPr>
        <w:t>The Housing Allocation Scheme which is a statutory requirement under the Housing Act 1996 sets out how the Council will allocate HRA owned social housing units (and housing association properties to which it has nomination rights) to meet local priority housing needs, make the best use of Harrow’s very limited social housing stock and ensure that residents in the most need of housing wait as short a time as possible before being allocated public rented housing.</w:t>
      </w:r>
    </w:p>
    <w:p w14:paraId="204B8CEF" w14:textId="77777777" w:rsidR="00A52968" w:rsidRDefault="00A52968" w:rsidP="00D80CC8">
      <w:pPr>
        <w:jc w:val="both"/>
        <w:rPr>
          <w:szCs w:val="24"/>
        </w:rPr>
      </w:pPr>
    </w:p>
    <w:p w14:paraId="0D6A780E" w14:textId="77777777" w:rsidR="00A52968" w:rsidRDefault="00A52968" w:rsidP="00D80CC8">
      <w:pPr>
        <w:jc w:val="both"/>
        <w:rPr>
          <w:szCs w:val="24"/>
        </w:rPr>
      </w:pPr>
      <w:r>
        <w:rPr>
          <w:szCs w:val="24"/>
        </w:rPr>
        <w:t>An effective approach to allocations and lettings reduces void times and therefore void loss to the HRA. It also minimises the amount of time that homeless households who have applied for social housing and are in the most need of housing spend in emergency/temporary accommodation which impacts on the GF.</w:t>
      </w:r>
    </w:p>
    <w:p w14:paraId="488C72A6" w14:textId="77777777" w:rsidR="00A52968" w:rsidRDefault="00A52968" w:rsidP="00D80CC8">
      <w:pPr>
        <w:jc w:val="both"/>
        <w:rPr>
          <w:szCs w:val="24"/>
        </w:rPr>
      </w:pPr>
    </w:p>
    <w:p w14:paraId="4F1721AC" w14:textId="77777777" w:rsidR="00A52968" w:rsidRDefault="00A52968" w:rsidP="00D80CC8">
      <w:pPr>
        <w:jc w:val="both"/>
        <w:rPr>
          <w:szCs w:val="24"/>
        </w:rPr>
      </w:pPr>
      <w:r>
        <w:rPr>
          <w:szCs w:val="24"/>
        </w:rPr>
        <w:t>There is a financial cost to legal challenges.</w:t>
      </w:r>
    </w:p>
    <w:p w14:paraId="45739562" w14:textId="77777777" w:rsidR="00A52968" w:rsidRDefault="00A52968" w:rsidP="00D80CC8">
      <w:pPr>
        <w:jc w:val="both"/>
      </w:pPr>
    </w:p>
    <w:p w14:paraId="7E369887" w14:textId="77777777" w:rsidR="00A52968" w:rsidRDefault="00A52968" w:rsidP="00D80CC8">
      <w:pPr>
        <w:jc w:val="both"/>
        <w:rPr>
          <w:b/>
          <w:bCs/>
        </w:rPr>
      </w:pPr>
      <w:r>
        <w:rPr>
          <w:b/>
          <w:bCs/>
        </w:rPr>
        <w:t>Tenancy Strategy &amp; Policy</w:t>
      </w:r>
    </w:p>
    <w:p w14:paraId="0F8681A3" w14:textId="77777777" w:rsidR="00A52968" w:rsidRDefault="00A52968" w:rsidP="00D80CC8">
      <w:pPr>
        <w:jc w:val="both"/>
      </w:pPr>
    </w:p>
    <w:p w14:paraId="3627F0CE" w14:textId="77777777" w:rsidR="00A52968" w:rsidRDefault="00A52968" w:rsidP="00D80CC8">
      <w:pPr>
        <w:jc w:val="both"/>
      </w:pPr>
      <w:r>
        <w:t>The Tenancy Strategy is a statutory requirement under the Localism Act 2011. The Tenancy Policy is a requirement of the Tenancy Standard set by the Regulator of Social Housing.</w:t>
      </w:r>
    </w:p>
    <w:p w14:paraId="354DD738" w14:textId="77777777" w:rsidR="00A52968" w:rsidRDefault="00A52968" w:rsidP="00D80CC8">
      <w:pPr>
        <w:jc w:val="both"/>
      </w:pPr>
    </w:p>
    <w:p w14:paraId="064644A8" w14:textId="77777777" w:rsidR="00A52968" w:rsidRDefault="00A52968" w:rsidP="00D80CC8">
      <w:pPr>
        <w:jc w:val="both"/>
        <w:rPr>
          <w:rFonts w:cs="Arial"/>
        </w:rPr>
      </w:pPr>
      <w:r>
        <w:rPr>
          <w:rFonts w:cs="Arial"/>
        </w:rPr>
        <w:t>The Tenancy Strategy and the Tenancy Policy set out expectations in relation to the types of tenancies that will be granted and associated issues. This has an impact on tenancy management, including rent and rent arrears which impact the HRA.</w:t>
      </w:r>
    </w:p>
    <w:p w14:paraId="50C4952E" w14:textId="77777777" w:rsidR="00A52968" w:rsidRDefault="00A52968" w:rsidP="00D80CC8">
      <w:pPr>
        <w:jc w:val="both"/>
      </w:pPr>
    </w:p>
    <w:p w14:paraId="209BEFBD" w14:textId="77777777" w:rsidR="00A52968" w:rsidRDefault="00A52968" w:rsidP="00D80CC8">
      <w:pPr>
        <w:jc w:val="both"/>
      </w:pPr>
    </w:p>
    <w:p w14:paraId="1948D9F6" w14:textId="77777777" w:rsidR="00A52968" w:rsidRDefault="00A52968" w:rsidP="00D80CC8">
      <w:pPr>
        <w:jc w:val="both"/>
        <w:rPr>
          <w:szCs w:val="24"/>
        </w:rPr>
      </w:pPr>
      <w:r>
        <w:rPr>
          <w:szCs w:val="24"/>
        </w:rPr>
        <w:t>Both the Housing Allocation Scheme and Tenancy Policy &amp; Strategy can attract legal challenges for which there is a cost to the Council.</w:t>
      </w:r>
    </w:p>
    <w:p w14:paraId="1ADE83F7" w14:textId="77777777" w:rsidR="00A52968" w:rsidRDefault="00A52968" w:rsidP="00D80CC8">
      <w:pPr>
        <w:jc w:val="both"/>
        <w:rPr>
          <w:szCs w:val="24"/>
        </w:rPr>
      </w:pPr>
    </w:p>
    <w:p w14:paraId="65796D26" w14:textId="77777777" w:rsidR="00A52968" w:rsidRDefault="00A52968" w:rsidP="00D80CC8">
      <w:pPr>
        <w:jc w:val="both"/>
        <w:rPr>
          <w:szCs w:val="24"/>
        </w:rPr>
      </w:pPr>
      <w:r>
        <w:rPr>
          <w:szCs w:val="24"/>
        </w:rPr>
        <w:t xml:space="preserve">The recommended option of </w:t>
      </w:r>
      <w:r>
        <w:t xml:space="preserve">continuing to use Choice Based Lettings with a more robust use of penalties for refusals and non-bidding is aimed at </w:t>
      </w:r>
      <w:r>
        <w:rPr>
          <w:szCs w:val="24"/>
        </w:rPr>
        <w:t>minimising the cost of void properties and temporary accommodation in the HRA and General Fund respectively whilst minimising the Council’s exposure to legal challenges.</w:t>
      </w:r>
    </w:p>
    <w:p w14:paraId="7E5D4383" w14:textId="77777777" w:rsidR="00A52968" w:rsidRDefault="00A52968" w:rsidP="00D80CC8">
      <w:pPr>
        <w:jc w:val="both"/>
        <w:rPr>
          <w:szCs w:val="24"/>
        </w:rPr>
      </w:pPr>
    </w:p>
    <w:p w14:paraId="5AF3EA54" w14:textId="77777777" w:rsidR="00A52968" w:rsidRDefault="00A52968" w:rsidP="00D80CC8">
      <w:pPr>
        <w:jc w:val="both"/>
        <w:rPr>
          <w:szCs w:val="24"/>
        </w:rPr>
      </w:pPr>
      <w:r>
        <w:rPr>
          <w:szCs w:val="24"/>
        </w:rPr>
        <w:t>Choice Based Lettings is currently implemented in Harrow using Locata. Continuing to use Choice Based Lettings as the method of allocation and Locata as the scheme through which this method is implemented will require continuation of the annual subscription to Locata at an annual cost of £30,000 per annum in the HRA and will continue to require re-let to target rent for all void units which is assumed in the draft HRA Budget report.</w:t>
      </w:r>
    </w:p>
    <w:p w14:paraId="5A718E87" w14:textId="77777777" w:rsidR="00A52968" w:rsidRDefault="00A52968" w:rsidP="00D80CC8">
      <w:pPr>
        <w:jc w:val="both"/>
        <w:rPr>
          <w:szCs w:val="24"/>
        </w:rPr>
      </w:pPr>
    </w:p>
    <w:p w14:paraId="61DC7403" w14:textId="7A3798D9" w:rsidR="00A1211C" w:rsidRDefault="00A52968" w:rsidP="00D80CC8">
      <w:pPr>
        <w:jc w:val="both"/>
      </w:pPr>
      <w:r>
        <w:rPr>
          <w:szCs w:val="24"/>
        </w:rPr>
        <w:t>Although there has been no financial modelling carried out to substantiate the financial impact on the HRA or cost of temporary accommodation on the General Fund</w:t>
      </w:r>
      <w:r w:rsidR="003868E5">
        <w:rPr>
          <w:szCs w:val="24"/>
        </w:rPr>
        <w:t>,</w:t>
      </w:r>
      <w:r>
        <w:rPr>
          <w:szCs w:val="24"/>
        </w:rPr>
        <w:t xml:space="preserve"> the proposals are considered reasonable and in line with assumptions used for the construction of draft budgets </w:t>
      </w:r>
      <w:r w:rsidR="00312D14" w:rsidRPr="00E00263">
        <w:rPr>
          <w:color w:val="002060"/>
        </w:rPr>
        <w:t>included in the HRA Draft Budget 2021/22 and MTFS 2022/23 to 2023/24 appearing elsewhere</w:t>
      </w:r>
      <w:r w:rsidR="00312D14" w:rsidRPr="00E00263">
        <w:t xml:space="preserve"> </w:t>
      </w:r>
      <w:r w:rsidR="00312D14" w:rsidRPr="007920ED">
        <w:t>on</w:t>
      </w:r>
      <w:r w:rsidR="00312D14" w:rsidRPr="00E00263">
        <w:rPr>
          <w:color w:val="002060"/>
        </w:rPr>
        <w:t xml:space="preserve"> the agenda.</w:t>
      </w:r>
      <w:r w:rsidR="00312D14" w:rsidRPr="00FA787B">
        <w:t xml:space="preserve"> </w:t>
      </w:r>
    </w:p>
    <w:p w14:paraId="61DC7405" w14:textId="77777777" w:rsidR="00333FAA" w:rsidRPr="00303FD6" w:rsidRDefault="00333FAA" w:rsidP="00FD10F9">
      <w:pPr>
        <w:pStyle w:val="Heading3"/>
        <w:spacing w:before="480" w:after="240"/>
        <w:ind w:left="0" w:firstLine="0"/>
        <w:rPr>
          <w:color w:val="FF0000"/>
        </w:rPr>
      </w:pPr>
      <w:r w:rsidRPr="004A2543">
        <w:t>Equalities implications</w:t>
      </w:r>
      <w:r w:rsidR="001C7E35">
        <w:t xml:space="preserve"> </w:t>
      </w:r>
      <w:r w:rsidRPr="00333FAA">
        <w:t>/</w:t>
      </w:r>
      <w:r w:rsidR="001C7E35">
        <w:t xml:space="preserve"> </w:t>
      </w:r>
      <w:r w:rsidRPr="00333FAA">
        <w:t>Public Sector Equality Duty</w:t>
      </w:r>
    </w:p>
    <w:p w14:paraId="3D555388" w14:textId="77777777" w:rsidR="007C40DC" w:rsidRDefault="007C40DC" w:rsidP="00D80CC8">
      <w:pPr>
        <w:autoSpaceDE w:val="0"/>
        <w:autoSpaceDN w:val="0"/>
        <w:adjustRightInd w:val="0"/>
        <w:jc w:val="both"/>
        <w:rPr>
          <w:rFonts w:cs="Arial"/>
          <w:szCs w:val="24"/>
          <w:lang w:eastAsia="en-GB"/>
        </w:rPr>
      </w:pPr>
      <w:r>
        <w:rPr>
          <w:rFonts w:cs="Arial"/>
          <w:szCs w:val="24"/>
          <w:lang w:eastAsia="en-GB"/>
        </w:rPr>
        <w:t>When making policy decisions, the Council must take account of the public</w:t>
      </w:r>
    </w:p>
    <w:p w14:paraId="0D724D92" w14:textId="77777777" w:rsidR="007C40DC" w:rsidRDefault="007C40DC" w:rsidP="00D80CC8">
      <w:pPr>
        <w:autoSpaceDE w:val="0"/>
        <w:autoSpaceDN w:val="0"/>
        <w:adjustRightInd w:val="0"/>
        <w:jc w:val="both"/>
        <w:rPr>
          <w:rFonts w:cs="Arial"/>
          <w:szCs w:val="24"/>
          <w:lang w:eastAsia="en-GB"/>
        </w:rPr>
      </w:pPr>
      <w:r>
        <w:rPr>
          <w:rFonts w:cs="Arial"/>
          <w:szCs w:val="24"/>
          <w:lang w:eastAsia="en-GB"/>
        </w:rPr>
        <w:t>sector equality duty (Section 149 of the Equality Act 2010) and in particular</w:t>
      </w:r>
    </w:p>
    <w:p w14:paraId="75168040" w14:textId="5F51D4EF" w:rsidR="007C40DC" w:rsidRDefault="007C40DC" w:rsidP="00D80CC8">
      <w:pPr>
        <w:autoSpaceDE w:val="0"/>
        <w:autoSpaceDN w:val="0"/>
        <w:adjustRightInd w:val="0"/>
        <w:jc w:val="both"/>
        <w:rPr>
          <w:rFonts w:cs="Arial"/>
          <w:szCs w:val="24"/>
          <w:lang w:eastAsia="en-GB"/>
        </w:rPr>
      </w:pPr>
      <w:r>
        <w:rPr>
          <w:rFonts w:cs="Arial"/>
          <w:szCs w:val="24"/>
          <w:lang w:eastAsia="en-GB"/>
        </w:rPr>
        <w:t>any potential impact on protected groups.</w:t>
      </w:r>
    </w:p>
    <w:p w14:paraId="6162BDDF" w14:textId="241B072E" w:rsidR="00DA4450" w:rsidRDefault="00DA4450" w:rsidP="00D80CC8">
      <w:pPr>
        <w:autoSpaceDE w:val="0"/>
        <w:autoSpaceDN w:val="0"/>
        <w:adjustRightInd w:val="0"/>
        <w:jc w:val="both"/>
        <w:rPr>
          <w:rFonts w:cs="Arial"/>
          <w:szCs w:val="24"/>
          <w:lang w:eastAsia="en-GB"/>
        </w:rPr>
      </w:pPr>
    </w:p>
    <w:p w14:paraId="4A5243CB" w14:textId="77777777" w:rsidR="00DA4450" w:rsidRDefault="00DA4450" w:rsidP="00D80CC8">
      <w:pPr>
        <w:autoSpaceDE w:val="0"/>
        <w:autoSpaceDN w:val="0"/>
        <w:adjustRightInd w:val="0"/>
        <w:jc w:val="both"/>
        <w:rPr>
          <w:rFonts w:cs="Arial"/>
          <w:szCs w:val="24"/>
          <w:lang w:eastAsia="en-GB"/>
        </w:rPr>
      </w:pPr>
      <w:r>
        <w:rPr>
          <w:rFonts w:cs="Arial"/>
          <w:szCs w:val="24"/>
          <w:lang w:eastAsia="en-GB"/>
        </w:rPr>
        <w:t>A range of stakeholders have been involved in consultation on the proposed changes to the strategies.</w:t>
      </w:r>
    </w:p>
    <w:p w14:paraId="7D2481FA" w14:textId="77777777" w:rsidR="007C40DC" w:rsidRDefault="007C40DC" w:rsidP="00D80CC8">
      <w:pPr>
        <w:autoSpaceDE w:val="0"/>
        <w:autoSpaceDN w:val="0"/>
        <w:adjustRightInd w:val="0"/>
        <w:jc w:val="both"/>
        <w:rPr>
          <w:rFonts w:cs="Arial"/>
          <w:szCs w:val="24"/>
          <w:lang w:eastAsia="en-GB"/>
        </w:rPr>
      </w:pPr>
    </w:p>
    <w:p w14:paraId="4A388B3C" w14:textId="07ADDACF" w:rsidR="007C40DC" w:rsidRDefault="007C40DC" w:rsidP="00A00414">
      <w:pPr>
        <w:autoSpaceDE w:val="0"/>
        <w:autoSpaceDN w:val="0"/>
        <w:adjustRightInd w:val="0"/>
        <w:jc w:val="both"/>
        <w:rPr>
          <w:rFonts w:cs="Arial"/>
          <w:szCs w:val="24"/>
          <w:lang w:eastAsia="en-GB"/>
        </w:rPr>
      </w:pPr>
      <w:r>
        <w:rPr>
          <w:rFonts w:cs="Arial"/>
          <w:szCs w:val="24"/>
          <w:lang w:eastAsia="en-GB"/>
        </w:rPr>
        <w:t>An EqIA has been completed in respect of the proposed changes to the</w:t>
      </w:r>
      <w:r w:rsidR="00A00414">
        <w:rPr>
          <w:rFonts w:cs="Arial"/>
          <w:szCs w:val="24"/>
          <w:lang w:eastAsia="en-GB"/>
        </w:rPr>
        <w:t xml:space="preserve"> </w:t>
      </w:r>
      <w:r>
        <w:rPr>
          <w:rFonts w:cs="Arial"/>
          <w:szCs w:val="24"/>
          <w:lang w:eastAsia="en-GB"/>
        </w:rPr>
        <w:t xml:space="preserve">Strategies and policies, which are intended to make them more relevant, </w:t>
      </w:r>
      <w:r w:rsidR="0072268E">
        <w:rPr>
          <w:rFonts w:cs="Arial"/>
          <w:szCs w:val="24"/>
          <w:lang w:eastAsia="en-GB"/>
        </w:rPr>
        <w:t>compliant,</w:t>
      </w:r>
      <w:r>
        <w:rPr>
          <w:rFonts w:cs="Arial"/>
          <w:szCs w:val="24"/>
          <w:lang w:eastAsia="en-GB"/>
        </w:rPr>
        <w:t xml:space="preserve"> and clearer to all stakeholders.</w:t>
      </w:r>
    </w:p>
    <w:p w14:paraId="6CF708A3" w14:textId="5C134ED2" w:rsidR="00DA4450" w:rsidRDefault="00DA4450" w:rsidP="00D80CC8">
      <w:pPr>
        <w:autoSpaceDE w:val="0"/>
        <w:autoSpaceDN w:val="0"/>
        <w:adjustRightInd w:val="0"/>
        <w:jc w:val="both"/>
        <w:rPr>
          <w:rFonts w:cs="Arial"/>
          <w:szCs w:val="24"/>
          <w:lang w:eastAsia="en-GB"/>
        </w:rPr>
      </w:pPr>
    </w:p>
    <w:p w14:paraId="748556E2" w14:textId="60AF6CEA" w:rsidR="00DA4450" w:rsidRDefault="00DA4450" w:rsidP="00D80CC8">
      <w:pPr>
        <w:jc w:val="both"/>
        <w:rPr>
          <w:rFonts w:cs="Arial"/>
          <w:bCs/>
          <w:szCs w:val="24"/>
          <w:lang w:eastAsia="en-GB"/>
        </w:rPr>
      </w:pPr>
      <w:r w:rsidRPr="00DA4450">
        <w:rPr>
          <w:rFonts w:cs="Arial"/>
          <w:bCs/>
          <w:szCs w:val="24"/>
          <w:lang w:eastAsia="en-GB"/>
        </w:rPr>
        <w:t xml:space="preserve">There is data available for some of the protected characteristics, particularly age, sex and ethnicity, but there is limited data for others. This makes it difficult to identify trends and to gauge the impact of the proposed changes on all groups with different protected characteristics. Data is currently held across </w:t>
      </w:r>
      <w:r w:rsidRPr="00DA4450">
        <w:rPr>
          <w:rFonts w:cs="Arial"/>
          <w:bCs/>
          <w:szCs w:val="24"/>
          <w:lang w:eastAsia="en-GB"/>
        </w:rPr>
        <w:lastRenderedPageBreak/>
        <w:t>three systems (Locata, Civica and Northgate). Housing Services is migrating to a new digital platform (Cx) in 2021 and we anticipate that this will improve the recording and management of diversity data.</w:t>
      </w:r>
    </w:p>
    <w:p w14:paraId="44F23396" w14:textId="1AB1CE85" w:rsidR="00536562" w:rsidRDefault="00536562" w:rsidP="00D80CC8">
      <w:pPr>
        <w:jc w:val="both"/>
        <w:rPr>
          <w:rFonts w:cs="Arial"/>
          <w:bCs/>
          <w:szCs w:val="24"/>
          <w:lang w:eastAsia="en-GB"/>
        </w:rPr>
      </w:pPr>
    </w:p>
    <w:p w14:paraId="3EC9C84F" w14:textId="6B3FAB6F" w:rsidR="00536562" w:rsidRPr="006D4E90" w:rsidRDefault="00536562" w:rsidP="00D80CC8">
      <w:pPr>
        <w:jc w:val="both"/>
        <w:rPr>
          <w:rFonts w:cs="Arial"/>
          <w:szCs w:val="24"/>
        </w:rPr>
      </w:pPr>
      <w:r w:rsidRPr="006D4E90">
        <w:rPr>
          <w:rFonts w:cs="Arial"/>
          <w:szCs w:val="24"/>
        </w:rPr>
        <w:t xml:space="preserve">The diversity profile of applicants on the housing register and those to whom social housing is allocated is influenced by other wider factors, such as income levels (including welfare benefits), the affordability of private rented </w:t>
      </w:r>
      <w:r>
        <w:rPr>
          <w:rFonts w:cs="Arial"/>
          <w:szCs w:val="24"/>
        </w:rPr>
        <w:t>housing</w:t>
      </w:r>
      <w:r w:rsidRPr="006D4E90">
        <w:rPr>
          <w:rFonts w:cs="Arial"/>
          <w:szCs w:val="24"/>
        </w:rPr>
        <w:t xml:space="preserve"> and of home ownership and the supply of affordable housing in Harrow, which in turn link to socio-economic factors such as education and employment. These factors are outside of the remit of the Housing Allocation Scheme but should be explored through the Borough Plan.</w:t>
      </w:r>
      <w:r w:rsidR="000E16F4">
        <w:rPr>
          <w:rFonts w:cs="Arial"/>
          <w:szCs w:val="24"/>
        </w:rPr>
        <w:t xml:space="preserve"> Work will be undertaken during 2021 to explore </w:t>
      </w:r>
      <w:r w:rsidR="007C0383">
        <w:rPr>
          <w:rFonts w:cs="Arial"/>
          <w:szCs w:val="24"/>
        </w:rPr>
        <w:t>and understand the over-representation of Black applicants on the housing register compared to the population profile of Harrow.</w:t>
      </w:r>
    </w:p>
    <w:p w14:paraId="5FE636F2" w14:textId="1DD6B9F5" w:rsidR="00A669F8" w:rsidRDefault="00A669F8" w:rsidP="00D80CC8">
      <w:pPr>
        <w:autoSpaceDE w:val="0"/>
        <w:autoSpaceDN w:val="0"/>
        <w:adjustRightInd w:val="0"/>
        <w:jc w:val="both"/>
        <w:rPr>
          <w:rFonts w:cs="Arial"/>
          <w:szCs w:val="24"/>
          <w:lang w:eastAsia="en-GB"/>
        </w:rPr>
      </w:pPr>
    </w:p>
    <w:p w14:paraId="38D31DFE" w14:textId="12883D5E" w:rsidR="00DF7AB8" w:rsidRDefault="00A669F8" w:rsidP="00A00414">
      <w:pPr>
        <w:jc w:val="both"/>
        <w:rPr>
          <w:rFonts w:cs="Arial"/>
          <w:bCs/>
          <w:szCs w:val="24"/>
          <w:lang w:eastAsia="en-GB"/>
        </w:rPr>
      </w:pPr>
      <w:r>
        <w:rPr>
          <w:rFonts w:cs="Arial"/>
          <w:szCs w:val="24"/>
          <w:lang w:eastAsia="en-GB"/>
        </w:rPr>
        <w:t xml:space="preserve">The EqIA is attached as Appendix </w:t>
      </w:r>
      <w:r w:rsidR="0020559B" w:rsidRPr="0020559B">
        <w:rPr>
          <w:rFonts w:cs="Arial"/>
          <w:szCs w:val="24"/>
          <w:lang w:eastAsia="en-GB"/>
        </w:rPr>
        <w:t>3</w:t>
      </w:r>
      <w:r>
        <w:rPr>
          <w:rFonts w:cs="Arial"/>
          <w:szCs w:val="24"/>
          <w:lang w:eastAsia="en-GB"/>
        </w:rPr>
        <w:t>.</w:t>
      </w:r>
      <w:r w:rsidR="000B5133">
        <w:rPr>
          <w:rFonts w:cs="Arial"/>
          <w:szCs w:val="24"/>
          <w:lang w:eastAsia="en-GB"/>
        </w:rPr>
        <w:t xml:space="preserve"> </w:t>
      </w:r>
      <w:r w:rsidR="00DF7AB8">
        <w:rPr>
          <w:rFonts w:cs="Arial"/>
          <w:bCs/>
          <w:szCs w:val="24"/>
          <w:lang w:eastAsia="en-GB"/>
        </w:rPr>
        <w:t xml:space="preserve">Based on the data available it is not anticipated that the proposed changes will have any negative impact on any groups with any specific protected characteristics. </w:t>
      </w:r>
    </w:p>
    <w:p w14:paraId="13F29FFB" w14:textId="5DF013F5" w:rsidR="00F549E7" w:rsidRDefault="00F549E7" w:rsidP="00D80CC8">
      <w:pPr>
        <w:autoSpaceDE w:val="0"/>
        <w:autoSpaceDN w:val="0"/>
        <w:adjustRightInd w:val="0"/>
        <w:jc w:val="both"/>
        <w:rPr>
          <w:rFonts w:cs="Arial"/>
          <w:szCs w:val="24"/>
          <w:lang w:eastAsia="en-GB"/>
        </w:rPr>
      </w:pPr>
    </w:p>
    <w:p w14:paraId="5E3A8B8C" w14:textId="65CFE23B" w:rsidR="00F549E7" w:rsidRDefault="00F549E7" w:rsidP="00D80CC8">
      <w:pPr>
        <w:autoSpaceDE w:val="0"/>
        <w:autoSpaceDN w:val="0"/>
        <w:adjustRightInd w:val="0"/>
        <w:jc w:val="both"/>
        <w:rPr>
          <w:rFonts w:cs="Arial"/>
          <w:szCs w:val="24"/>
          <w:lang w:eastAsia="en-GB"/>
        </w:rPr>
      </w:pPr>
      <w:r>
        <w:rPr>
          <w:rFonts w:cs="Arial"/>
          <w:szCs w:val="24"/>
          <w:lang w:eastAsia="en-GB"/>
        </w:rPr>
        <w:t>The impact and outcomes of the new Housing Allocation Scheme and the new Tenancy Strategy &amp; Policy will be monitored and reported to</w:t>
      </w:r>
      <w:r w:rsidR="001F2DBE">
        <w:rPr>
          <w:rFonts w:cs="Arial"/>
          <w:szCs w:val="24"/>
          <w:lang w:eastAsia="en-GB"/>
        </w:rPr>
        <w:t xml:space="preserve"> the Housing Services Senior Management Team</w:t>
      </w:r>
      <w:r>
        <w:rPr>
          <w:rFonts w:cs="Arial"/>
          <w:szCs w:val="24"/>
          <w:lang w:eastAsia="en-GB"/>
        </w:rPr>
        <w:t xml:space="preserve">. </w:t>
      </w:r>
    </w:p>
    <w:p w14:paraId="326B7C63" w14:textId="77777777" w:rsidR="007C40DC" w:rsidRDefault="007C40DC" w:rsidP="00D80CC8">
      <w:pPr>
        <w:autoSpaceDE w:val="0"/>
        <w:autoSpaceDN w:val="0"/>
        <w:adjustRightInd w:val="0"/>
        <w:jc w:val="both"/>
        <w:rPr>
          <w:rFonts w:cs="Arial"/>
          <w:szCs w:val="24"/>
          <w:lang w:eastAsia="en-GB"/>
        </w:rPr>
      </w:pPr>
    </w:p>
    <w:p w14:paraId="61DC7407" w14:textId="37898977" w:rsidR="00333FAA" w:rsidRPr="007C40DC" w:rsidRDefault="00333FAA" w:rsidP="00D80CC8">
      <w:pPr>
        <w:autoSpaceDE w:val="0"/>
        <w:autoSpaceDN w:val="0"/>
        <w:adjustRightInd w:val="0"/>
        <w:jc w:val="both"/>
        <w:rPr>
          <w:rFonts w:cs="Arial"/>
          <w:b/>
          <w:bCs/>
          <w:szCs w:val="24"/>
          <w:lang w:eastAsia="en-GB"/>
        </w:rPr>
      </w:pPr>
      <w:r w:rsidRPr="007C40DC">
        <w:rPr>
          <w:b/>
          <w:bCs/>
        </w:rPr>
        <w:t>Council Priorities</w:t>
      </w:r>
    </w:p>
    <w:p w14:paraId="2D8C2FF1" w14:textId="29660B90" w:rsidR="00A669F8" w:rsidRPr="006C20EA" w:rsidRDefault="00A669F8" w:rsidP="00D80CC8">
      <w:pPr>
        <w:autoSpaceDE w:val="0"/>
        <w:autoSpaceDN w:val="0"/>
        <w:spacing w:before="240"/>
        <w:jc w:val="both"/>
      </w:pPr>
      <w:r w:rsidRPr="006C20EA">
        <w:t xml:space="preserve">The </w:t>
      </w:r>
      <w:r w:rsidR="000D4F54">
        <w:t xml:space="preserve">suite of </w:t>
      </w:r>
      <w:r w:rsidRPr="006C20EA">
        <w:t xml:space="preserve">housing and homelessness strategies </w:t>
      </w:r>
      <w:r w:rsidR="000D4F54">
        <w:t xml:space="preserve">and policies </w:t>
      </w:r>
      <w:r w:rsidRPr="006C20EA">
        <w:t xml:space="preserve">help the Council meet its vision and corporate priorities, particularly </w:t>
      </w:r>
      <w:r>
        <w:t>‘</w:t>
      </w:r>
      <w:r w:rsidRPr="006C20EA">
        <w:t>Improving the environment and addressing climate change</w:t>
      </w:r>
      <w:r>
        <w:t>’</w:t>
      </w:r>
      <w:r w:rsidRPr="006C20EA">
        <w:t xml:space="preserve">, </w:t>
      </w:r>
      <w:r>
        <w:t>‘</w:t>
      </w:r>
      <w:r w:rsidRPr="006C20EA">
        <w:t>Tackling poverty and inequality</w:t>
      </w:r>
      <w:r>
        <w:t>’</w:t>
      </w:r>
      <w:r w:rsidRPr="006C20EA">
        <w:t xml:space="preserve"> and </w:t>
      </w:r>
      <w:r>
        <w:t>‘</w:t>
      </w:r>
      <w:r w:rsidRPr="006C20EA">
        <w:t>Building homes and infrastructure</w:t>
      </w:r>
      <w:r>
        <w:t>’</w:t>
      </w:r>
      <w:r w:rsidRPr="006C20EA">
        <w:t>.</w:t>
      </w:r>
    </w:p>
    <w:p w14:paraId="277A4829" w14:textId="25B8FE81" w:rsidR="00A669F8" w:rsidRDefault="00A669F8" w:rsidP="00D80CC8">
      <w:pPr>
        <w:autoSpaceDE w:val="0"/>
        <w:autoSpaceDN w:val="0"/>
        <w:adjustRightInd w:val="0"/>
        <w:jc w:val="both"/>
        <w:rPr>
          <w:rFonts w:cs="Arial"/>
          <w:szCs w:val="24"/>
          <w:lang w:eastAsia="en-GB"/>
        </w:rPr>
      </w:pPr>
    </w:p>
    <w:p w14:paraId="0181555F" w14:textId="0A861BAA" w:rsidR="000041C7" w:rsidRPr="00354B21" w:rsidRDefault="000D4F54" w:rsidP="00D80CC8">
      <w:pPr>
        <w:pStyle w:val="Heading3"/>
        <w:ind w:left="0" w:firstLine="0"/>
        <w:rPr>
          <w:b w:val="0"/>
          <w:bCs w:val="0"/>
          <w:sz w:val="24"/>
          <w:szCs w:val="24"/>
        </w:rPr>
      </w:pPr>
      <w:r>
        <w:rPr>
          <w:b w:val="0"/>
          <w:bCs w:val="0"/>
          <w:sz w:val="24"/>
          <w:szCs w:val="24"/>
        </w:rPr>
        <w:t>In particular t</w:t>
      </w:r>
      <w:r w:rsidR="000041C7">
        <w:rPr>
          <w:b w:val="0"/>
          <w:bCs w:val="0"/>
          <w:sz w:val="24"/>
          <w:szCs w:val="24"/>
        </w:rPr>
        <w:t xml:space="preserve">he Housing Allocation Scheme contributes to the priority ‘Tackling poverty and inequality’ by </w:t>
      </w:r>
      <w:r w:rsidR="000041C7" w:rsidRPr="00354B21">
        <w:rPr>
          <w:b w:val="0"/>
          <w:bCs w:val="0"/>
          <w:sz w:val="24"/>
          <w:szCs w:val="24"/>
        </w:rPr>
        <w:t>meet</w:t>
      </w:r>
      <w:r w:rsidR="000041C7">
        <w:rPr>
          <w:b w:val="0"/>
          <w:bCs w:val="0"/>
          <w:sz w:val="24"/>
          <w:szCs w:val="24"/>
        </w:rPr>
        <w:t>ing</w:t>
      </w:r>
      <w:r w:rsidR="000041C7" w:rsidRPr="00354B21">
        <w:rPr>
          <w:b w:val="0"/>
          <w:bCs w:val="0"/>
          <w:sz w:val="24"/>
          <w:szCs w:val="24"/>
        </w:rPr>
        <w:t xml:space="preserve"> local priority housing needs, mak</w:t>
      </w:r>
      <w:r w:rsidR="000041C7">
        <w:rPr>
          <w:b w:val="0"/>
          <w:bCs w:val="0"/>
          <w:sz w:val="24"/>
          <w:szCs w:val="24"/>
        </w:rPr>
        <w:t xml:space="preserve">ing </w:t>
      </w:r>
      <w:r w:rsidR="000041C7" w:rsidRPr="00354B21">
        <w:rPr>
          <w:b w:val="0"/>
          <w:bCs w:val="0"/>
          <w:sz w:val="24"/>
          <w:szCs w:val="24"/>
        </w:rPr>
        <w:t>the best use of Harrow’s very limited social housing stock and ensur</w:t>
      </w:r>
      <w:r w:rsidR="000041C7">
        <w:rPr>
          <w:b w:val="0"/>
          <w:bCs w:val="0"/>
          <w:sz w:val="24"/>
          <w:szCs w:val="24"/>
        </w:rPr>
        <w:t>ing</w:t>
      </w:r>
      <w:r w:rsidR="000041C7" w:rsidRPr="00354B21">
        <w:rPr>
          <w:b w:val="0"/>
          <w:bCs w:val="0"/>
          <w:sz w:val="24"/>
          <w:szCs w:val="24"/>
        </w:rPr>
        <w:t xml:space="preserve"> that </w:t>
      </w:r>
      <w:r w:rsidR="000041C7">
        <w:rPr>
          <w:b w:val="0"/>
          <w:bCs w:val="0"/>
          <w:sz w:val="24"/>
          <w:szCs w:val="24"/>
        </w:rPr>
        <w:t>r</w:t>
      </w:r>
      <w:r w:rsidR="000041C7" w:rsidRPr="00354B21">
        <w:rPr>
          <w:b w:val="0"/>
          <w:bCs w:val="0"/>
          <w:sz w:val="24"/>
          <w:szCs w:val="24"/>
        </w:rPr>
        <w:t xml:space="preserve">esidents </w:t>
      </w:r>
      <w:r w:rsidR="000041C7">
        <w:rPr>
          <w:b w:val="0"/>
          <w:bCs w:val="0"/>
          <w:sz w:val="24"/>
          <w:szCs w:val="24"/>
        </w:rPr>
        <w:t>in</w:t>
      </w:r>
      <w:r w:rsidR="000041C7" w:rsidRPr="00354B21">
        <w:rPr>
          <w:b w:val="0"/>
          <w:bCs w:val="0"/>
          <w:sz w:val="24"/>
          <w:szCs w:val="24"/>
        </w:rPr>
        <w:t xml:space="preserve"> the most need of housing wait a</w:t>
      </w:r>
      <w:r w:rsidR="000041C7">
        <w:rPr>
          <w:b w:val="0"/>
          <w:bCs w:val="0"/>
          <w:sz w:val="24"/>
          <w:szCs w:val="24"/>
        </w:rPr>
        <w:t xml:space="preserve">s </w:t>
      </w:r>
      <w:r w:rsidR="000041C7" w:rsidRPr="00354B21">
        <w:rPr>
          <w:b w:val="0"/>
          <w:bCs w:val="0"/>
          <w:sz w:val="24"/>
          <w:szCs w:val="24"/>
        </w:rPr>
        <w:t>short</w:t>
      </w:r>
      <w:r w:rsidR="000041C7">
        <w:rPr>
          <w:b w:val="0"/>
          <w:bCs w:val="0"/>
          <w:sz w:val="24"/>
          <w:szCs w:val="24"/>
        </w:rPr>
        <w:t xml:space="preserve"> a </w:t>
      </w:r>
      <w:r w:rsidR="000041C7" w:rsidRPr="00354B21">
        <w:rPr>
          <w:b w:val="0"/>
          <w:bCs w:val="0"/>
          <w:sz w:val="24"/>
          <w:szCs w:val="24"/>
        </w:rPr>
        <w:t xml:space="preserve">time </w:t>
      </w:r>
      <w:r w:rsidR="000041C7">
        <w:rPr>
          <w:b w:val="0"/>
          <w:bCs w:val="0"/>
          <w:sz w:val="24"/>
          <w:szCs w:val="24"/>
        </w:rPr>
        <w:t xml:space="preserve">as possible before being allocated </w:t>
      </w:r>
      <w:r w:rsidR="000041C7" w:rsidRPr="00354B21">
        <w:rPr>
          <w:b w:val="0"/>
          <w:bCs w:val="0"/>
          <w:sz w:val="24"/>
          <w:szCs w:val="24"/>
        </w:rPr>
        <w:t>public rented housing.</w:t>
      </w:r>
    </w:p>
    <w:p w14:paraId="61DC740E" w14:textId="77777777" w:rsidR="00333FAA" w:rsidRDefault="00333FAA" w:rsidP="00D80CC8">
      <w:pPr>
        <w:pStyle w:val="Heading2"/>
        <w:spacing w:before="480" w:after="240"/>
        <w:jc w:val="both"/>
      </w:pPr>
      <w:r>
        <w:t>Section 3 - Statutory Officer Clearance</w:t>
      </w:r>
    </w:p>
    <w:p w14:paraId="6090F8E7" w14:textId="1422B798" w:rsidR="00A81B40" w:rsidRPr="00A66326" w:rsidRDefault="00A81B40" w:rsidP="00D80CC8">
      <w:pPr>
        <w:jc w:val="both"/>
        <w:rPr>
          <w:sz w:val="28"/>
        </w:rPr>
      </w:pPr>
      <w:r w:rsidRPr="00A66326">
        <w:rPr>
          <w:b/>
          <w:sz w:val="28"/>
        </w:rPr>
        <w:t xml:space="preserve">Statutory Officer:  </w:t>
      </w:r>
      <w:r w:rsidR="00450128">
        <w:rPr>
          <w:b/>
          <w:sz w:val="28"/>
        </w:rPr>
        <w:t>Tasleem Kazmi</w:t>
      </w:r>
    </w:p>
    <w:p w14:paraId="34A98D5C" w14:textId="3A51CFCE" w:rsidR="00A81B40" w:rsidRPr="00A66326" w:rsidRDefault="00A81B40" w:rsidP="00D80CC8">
      <w:pPr>
        <w:jc w:val="both"/>
      </w:pPr>
      <w:r w:rsidRPr="00A66326">
        <w:t>Signed on behalf of the Chief Financial Officer</w:t>
      </w:r>
    </w:p>
    <w:p w14:paraId="012893E8" w14:textId="29D2086F" w:rsidR="00A81B40" w:rsidRPr="00A66326" w:rsidRDefault="00A81B40" w:rsidP="00D80CC8">
      <w:pPr>
        <w:spacing w:after="480"/>
        <w:jc w:val="both"/>
        <w:rPr>
          <w:sz w:val="28"/>
        </w:rPr>
      </w:pPr>
      <w:r w:rsidRPr="00A66326">
        <w:rPr>
          <w:b/>
          <w:sz w:val="28"/>
        </w:rPr>
        <w:t xml:space="preserve">Date:  </w:t>
      </w:r>
      <w:r w:rsidR="00D9066B">
        <w:rPr>
          <w:b/>
          <w:sz w:val="28"/>
        </w:rPr>
        <w:t>13 January 2021</w:t>
      </w:r>
    </w:p>
    <w:p w14:paraId="0CBECE47" w14:textId="497C8577" w:rsidR="00A81B40" w:rsidRPr="00A66326" w:rsidRDefault="00A81B40" w:rsidP="00D80CC8">
      <w:pPr>
        <w:jc w:val="both"/>
        <w:rPr>
          <w:sz w:val="28"/>
        </w:rPr>
      </w:pPr>
      <w:r w:rsidRPr="00A66326">
        <w:rPr>
          <w:b/>
          <w:sz w:val="28"/>
        </w:rPr>
        <w:t xml:space="preserve">Statutory Officer:  </w:t>
      </w:r>
      <w:r w:rsidR="00D9066B">
        <w:rPr>
          <w:b/>
          <w:sz w:val="28"/>
        </w:rPr>
        <w:t>Paresh Mehta</w:t>
      </w:r>
    </w:p>
    <w:p w14:paraId="0EFC269B" w14:textId="1E0A6F25" w:rsidR="00A81B40" w:rsidRPr="00A66326" w:rsidRDefault="00A81B40" w:rsidP="00D80CC8">
      <w:pPr>
        <w:jc w:val="both"/>
      </w:pPr>
      <w:r w:rsidRPr="00A66326">
        <w:t xml:space="preserve">Signed on </w:t>
      </w:r>
      <w:r w:rsidR="00FD10F9">
        <w:t xml:space="preserve">behalf of </w:t>
      </w:r>
      <w:r w:rsidRPr="00A66326">
        <w:t>the Monitoring Officer</w:t>
      </w:r>
    </w:p>
    <w:p w14:paraId="2A07A228" w14:textId="3C4D8A3C" w:rsidR="00A81B40" w:rsidRPr="003313EA" w:rsidRDefault="00A81B40" w:rsidP="00D80CC8">
      <w:pPr>
        <w:spacing w:after="480"/>
        <w:jc w:val="both"/>
        <w:rPr>
          <w:sz w:val="28"/>
        </w:rPr>
      </w:pPr>
      <w:r w:rsidRPr="00A66326">
        <w:rPr>
          <w:b/>
          <w:sz w:val="28"/>
        </w:rPr>
        <w:t xml:space="preserve">Date:  </w:t>
      </w:r>
      <w:r w:rsidR="00D9066B">
        <w:rPr>
          <w:b/>
          <w:sz w:val="28"/>
        </w:rPr>
        <w:t>12 January 2021</w:t>
      </w:r>
    </w:p>
    <w:p w14:paraId="01E4AE41" w14:textId="06157900" w:rsidR="00A81B40" w:rsidRPr="00A66326" w:rsidRDefault="00A81B40" w:rsidP="00D80CC8">
      <w:pPr>
        <w:jc w:val="both"/>
        <w:rPr>
          <w:sz w:val="28"/>
        </w:rPr>
      </w:pPr>
      <w:r>
        <w:rPr>
          <w:b/>
          <w:sz w:val="28"/>
        </w:rPr>
        <w:t>Chief</w:t>
      </w:r>
      <w:r w:rsidRPr="00A66326">
        <w:rPr>
          <w:b/>
          <w:sz w:val="28"/>
        </w:rPr>
        <w:t xml:space="preserve"> Officer:  </w:t>
      </w:r>
      <w:r w:rsidR="00FD10F9">
        <w:rPr>
          <w:b/>
          <w:sz w:val="28"/>
        </w:rPr>
        <w:t>Paul Walker</w:t>
      </w:r>
    </w:p>
    <w:p w14:paraId="3CFD9F4C" w14:textId="6B49CC1F" w:rsidR="00A81B40" w:rsidRPr="00A66326" w:rsidRDefault="00A81B40" w:rsidP="00D80CC8">
      <w:pPr>
        <w:jc w:val="both"/>
      </w:pPr>
      <w:r w:rsidRPr="00A66326">
        <w:t xml:space="preserve">Signed </w:t>
      </w:r>
      <w:r>
        <w:t xml:space="preserve">off by the Corporate </w:t>
      </w:r>
      <w:r w:rsidR="00B84878">
        <w:t>Director</w:t>
      </w:r>
    </w:p>
    <w:p w14:paraId="2A125A43" w14:textId="5EB4CD8F" w:rsidR="00A81B40" w:rsidRPr="00FD10F9" w:rsidRDefault="00A81B40" w:rsidP="00D80CC8">
      <w:pPr>
        <w:spacing w:after="480"/>
        <w:jc w:val="both"/>
        <w:rPr>
          <w:bCs/>
          <w:sz w:val="28"/>
        </w:rPr>
      </w:pPr>
      <w:r w:rsidRPr="00A66326">
        <w:rPr>
          <w:b/>
          <w:sz w:val="28"/>
        </w:rPr>
        <w:lastRenderedPageBreak/>
        <w:t xml:space="preserve">Date:  </w:t>
      </w:r>
      <w:r w:rsidR="00FD10F9" w:rsidRPr="00FD10F9">
        <w:rPr>
          <w:bCs/>
          <w:sz w:val="28"/>
        </w:rPr>
        <w:t>13</w:t>
      </w:r>
      <w:r w:rsidR="00FD10F9" w:rsidRPr="00FD10F9">
        <w:rPr>
          <w:bCs/>
          <w:sz w:val="28"/>
          <w:vertAlign w:val="superscript"/>
        </w:rPr>
        <w:t xml:space="preserve"> </w:t>
      </w:r>
      <w:r w:rsidR="00FD10F9" w:rsidRPr="00FD10F9">
        <w:rPr>
          <w:bCs/>
          <w:sz w:val="28"/>
        </w:rPr>
        <w:t>January 2021</w:t>
      </w:r>
    </w:p>
    <w:p w14:paraId="1D1D7789" w14:textId="71750BB4" w:rsidR="00A81B40" w:rsidRPr="00A66326" w:rsidRDefault="00A81B40" w:rsidP="00D80CC8">
      <w:pPr>
        <w:jc w:val="both"/>
        <w:rPr>
          <w:sz w:val="28"/>
        </w:rPr>
      </w:pPr>
      <w:r>
        <w:rPr>
          <w:b/>
          <w:sz w:val="28"/>
        </w:rPr>
        <w:t>Head of Procurement</w:t>
      </w:r>
      <w:r w:rsidRPr="00A66326">
        <w:rPr>
          <w:b/>
          <w:sz w:val="28"/>
        </w:rPr>
        <w:t xml:space="preserve">:  </w:t>
      </w:r>
      <w:r w:rsidR="00D9066B">
        <w:rPr>
          <w:b/>
          <w:sz w:val="28"/>
        </w:rPr>
        <w:t>Nimesh Mehta</w:t>
      </w:r>
    </w:p>
    <w:p w14:paraId="0E7F8948" w14:textId="49F56170" w:rsidR="00A81B40" w:rsidRPr="00A66326" w:rsidRDefault="00A81B40" w:rsidP="00D80CC8">
      <w:pPr>
        <w:jc w:val="both"/>
      </w:pPr>
      <w:r w:rsidRPr="00A66326">
        <w:t xml:space="preserve">Signed on by the </w:t>
      </w:r>
      <w:r>
        <w:t>Head of Procurement</w:t>
      </w:r>
    </w:p>
    <w:p w14:paraId="62B05655" w14:textId="17830857" w:rsidR="00A81B40" w:rsidRPr="003313EA" w:rsidRDefault="00A81B40" w:rsidP="00D80CC8">
      <w:pPr>
        <w:spacing w:after="480"/>
        <w:jc w:val="both"/>
        <w:rPr>
          <w:sz w:val="28"/>
        </w:rPr>
      </w:pPr>
      <w:r w:rsidRPr="00A66326">
        <w:rPr>
          <w:b/>
          <w:sz w:val="28"/>
        </w:rPr>
        <w:t xml:space="preserve">Date:  </w:t>
      </w:r>
      <w:r w:rsidR="009307A9">
        <w:rPr>
          <w:b/>
          <w:sz w:val="28"/>
        </w:rPr>
        <w:t>11 January 2021</w:t>
      </w:r>
    </w:p>
    <w:p w14:paraId="21ECE0DC" w14:textId="1C161D87" w:rsidR="00A81B40" w:rsidRPr="00A66326" w:rsidRDefault="00A81B40" w:rsidP="00D80CC8">
      <w:pPr>
        <w:jc w:val="both"/>
        <w:rPr>
          <w:sz w:val="28"/>
        </w:rPr>
      </w:pPr>
      <w:r>
        <w:rPr>
          <w:b/>
          <w:sz w:val="28"/>
        </w:rPr>
        <w:t>Head of Internal Audit</w:t>
      </w:r>
      <w:r w:rsidRPr="00A66326">
        <w:rPr>
          <w:b/>
          <w:sz w:val="28"/>
        </w:rPr>
        <w:t xml:space="preserve">:  </w:t>
      </w:r>
      <w:r w:rsidR="009307A9">
        <w:rPr>
          <w:b/>
          <w:sz w:val="28"/>
        </w:rPr>
        <w:t>Susan Dixson</w:t>
      </w:r>
    </w:p>
    <w:p w14:paraId="177B1391" w14:textId="65A7E4EB" w:rsidR="00A81B40" w:rsidRPr="00A66326" w:rsidRDefault="00A81B40" w:rsidP="00D80CC8">
      <w:pPr>
        <w:jc w:val="both"/>
      </w:pPr>
      <w:r w:rsidRPr="00A66326">
        <w:t xml:space="preserve">Signed on by the </w:t>
      </w:r>
      <w:r>
        <w:t>Head of Internal Audit</w:t>
      </w:r>
    </w:p>
    <w:p w14:paraId="010C4AB3" w14:textId="664AC94B" w:rsidR="00A81B40" w:rsidRDefault="00A81B40" w:rsidP="00D80CC8">
      <w:pPr>
        <w:pStyle w:val="Heading2"/>
        <w:spacing w:after="240"/>
        <w:jc w:val="both"/>
      </w:pPr>
      <w:r w:rsidRPr="00A66326">
        <w:rPr>
          <w:sz w:val="28"/>
        </w:rPr>
        <w:t>Date:</w:t>
      </w:r>
      <w:r w:rsidR="009307A9">
        <w:rPr>
          <w:sz w:val="28"/>
        </w:rPr>
        <w:t xml:space="preserve"> 12 January 2021</w:t>
      </w:r>
    </w:p>
    <w:p w14:paraId="61DC7423" w14:textId="77777777" w:rsidR="003313EA" w:rsidRPr="00435B5D" w:rsidRDefault="003313EA" w:rsidP="00D80CC8">
      <w:pPr>
        <w:pStyle w:val="Heading2"/>
        <w:spacing w:after="240"/>
        <w:jc w:val="both"/>
      </w:pPr>
      <w:r>
        <w:t>Mandatory Checks</w:t>
      </w:r>
    </w:p>
    <w:p w14:paraId="61DC7424" w14:textId="6F5CBABE" w:rsidR="003313EA" w:rsidRPr="00A406F3" w:rsidRDefault="003313EA" w:rsidP="00D80CC8">
      <w:pPr>
        <w:pStyle w:val="Heading3"/>
        <w:ind w:left="0" w:firstLine="0"/>
      </w:pPr>
      <w:r w:rsidRPr="003313EA">
        <w:t xml:space="preserve">Ward Councillors </w:t>
      </w:r>
      <w:r>
        <w:t xml:space="preserve">notified:  </w:t>
      </w:r>
      <w:r w:rsidRPr="00A406F3">
        <w:t>NO</w:t>
      </w:r>
      <w:r w:rsidRPr="00333FAA">
        <w:t>, as it impacts on all Wards</w:t>
      </w:r>
      <w:r w:rsidRPr="00A406F3">
        <w:t xml:space="preserve"> </w:t>
      </w:r>
    </w:p>
    <w:p w14:paraId="508A4F5C" w14:textId="77777777" w:rsidR="005C5819" w:rsidRDefault="003313EA" w:rsidP="00D80CC8">
      <w:pPr>
        <w:pStyle w:val="Heading3"/>
        <w:spacing w:before="240"/>
        <w:rPr>
          <w:b w:val="0"/>
        </w:rPr>
      </w:pPr>
      <w:r w:rsidRPr="00202D79">
        <w:t>EqIA carried out:</w:t>
      </w:r>
      <w:r>
        <w:t xml:space="preserve">  </w:t>
      </w:r>
      <w:r w:rsidRPr="00202D79">
        <w:t>YES</w:t>
      </w:r>
    </w:p>
    <w:p w14:paraId="61DC7429" w14:textId="0DB1C94D" w:rsidR="003313EA" w:rsidRPr="005C5819" w:rsidRDefault="003313EA" w:rsidP="00D80CC8">
      <w:pPr>
        <w:pStyle w:val="Heading3"/>
        <w:spacing w:before="240"/>
        <w:rPr>
          <w:b w:val="0"/>
        </w:rPr>
      </w:pPr>
      <w:proofErr w:type="spellStart"/>
      <w:r w:rsidRPr="00202D79">
        <w:t>EqIA</w:t>
      </w:r>
      <w:proofErr w:type="spellEnd"/>
      <w:r w:rsidRPr="00202D79">
        <w:t xml:space="preserve"> cleared </w:t>
      </w:r>
      <w:proofErr w:type="gramStart"/>
      <w:r w:rsidRPr="00202D79">
        <w:t>by:</w:t>
      </w:r>
      <w:proofErr w:type="gramEnd"/>
      <w:r>
        <w:t xml:space="preserve">  </w:t>
      </w:r>
      <w:r w:rsidR="00CE5AAC">
        <w:t>Dav</w:t>
      </w:r>
      <w:r w:rsidR="00175F5B">
        <w:t>id</w:t>
      </w:r>
      <w:r w:rsidR="00CE5AAC">
        <w:t xml:space="preserve"> Corby</w:t>
      </w:r>
    </w:p>
    <w:p w14:paraId="61DC742A" w14:textId="77777777" w:rsidR="00333FAA" w:rsidRDefault="00333FAA" w:rsidP="00D80CC8">
      <w:pPr>
        <w:pStyle w:val="Heading2"/>
        <w:spacing w:before="480" w:after="240"/>
        <w:jc w:val="both"/>
      </w:pPr>
      <w:r>
        <w:t xml:space="preserve">Section </w:t>
      </w:r>
      <w:r w:rsidR="00A20113">
        <w:t>4</w:t>
      </w:r>
      <w:r>
        <w:t xml:space="preserve"> - Contact Details and Background Papers</w:t>
      </w:r>
    </w:p>
    <w:p w14:paraId="7FC5F351" w14:textId="77777777" w:rsidR="004C0AF1" w:rsidRDefault="00333FAA" w:rsidP="00D80CC8">
      <w:pPr>
        <w:pStyle w:val="Infotext"/>
        <w:spacing w:after="240"/>
        <w:jc w:val="both"/>
        <w:rPr>
          <w:b/>
        </w:rPr>
      </w:pPr>
      <w:r w:rsidRPr="004E47FC">
        <w:rPr>
          <w:b/>
        </w:rPr>
        <w:t>Contact:</w:t>
      </w:r>
    </w:p>
    <w:p w14:paraId="61FAA447" w14:textId="7B2392E6" w:rsidR="004C0AF1" w:rsidRPr="00FD10F9" w:rsidRDefault="004C0AF1" w:rsidP="00D80CC8">
      <w:pPr>
        <w:autoSpaceDE w:val="0"/>
        <w:autoSpaceDN w:val="0"/>
        <w:adjustRightInd w:val="0"/>
        <w:jc w:val="both"/>
        <w:rPr>
          <w:rFonts w:cs="Arial"/>
          <w:szCs w:val="24"/>
          <w:lang w:eastAsia="en-GB"/>
        </w:rPr>
      </w:pPr>
      <w:r w:rsidRPr="00FD10F9">
        <w:rPr>
          <w:rFonts w:cs="Arial"/>
          <w:szCs w:val="24"/>
          <w:lang w:eastAsia="en-GB"/>
        </w:rPr>
        <w:t>Meghan Zinkewich-Peotti</w:t>
      </w:r>
      <w:r w:rsidR="00FD10F9" w:rsidRPr="00FD10F9">
        <w:rPr>
          <w:rFonts w:cs="Arial"/>
          <w:szCs w:val="24"/>
          <w:lang w:eastAsia="en-GB"/>
        </w:rPr>
        <w:t xml:space="preserve">, </w:t>
      </w:r>
      <w:r w:rsidRPr="00FD10F9">
        <w:rPr>
          <w:rFonts w:cs="Arial"/>
          <w:szCs w:val="24"/>
          <w:lang w:eastAsia="en-GB"/>
        </w:rPr>
        <w:t>Housing Strategy Project Manager</w:t>
      </w:r>
    </w:p>
    <w:p w14:paraId="61DC742B" w14:textId="5B0854A8" w:rsidR="00333FAA" w:rsidRPr="00FD10F9" w:rsidRDefault="004C0AF1" w:rsidP="00FD10F9">
      <w:pPr>
        <w:autoSpaceDE w:val="0"/>
        <w:autoSpaceDN w:val="0"/>
        <w:adjustRightInd w:val="0"/>
        <w:jc w:val="both"/>
        <w:rPr>
          <w:b/>
          <w:szCs w:val="24"/>
        </w:rPr>
      </w:pPr>
      <w:r w:rsidRPr="00FD10F9">
        <w:rPr>
          <w:rFonts w:cs="Arial"/>
          <w:szCs w:val="24"/>
          <w:lang w:eastAsia="en-GB"/>
        </w:rPr>
        <w:t>Housing Services</w:t>
      </w:r>
      <w:r w:rsidR="00FD10F9" w:rsidRPr="00FD10F9">
        <w:rPr>
          <w:rFonts w:cs="Arial"/>
          <w:szCs w:val="24"/>
          <w:lang w:eastAsia="en-GB"/>
        </w:rPr>
        <w:t xml:space="preserve">, </w:t>
      </w:r>
      <w:r w:rsidRPr="00FD10F9">
        <w:rPr>
          <w:rFonts w:cs="Arial"/>
          <w:szCs w:val="24"/>
          <w:lang w:eastAsia="en-GB"/>
        </w:rPr>
        <w:t>Community Directorate</w:t>
      </w:r>
      <w:r w:rsidR="00FD10F9" w:rsidRPr="00FD10F9">
        <w:rPr>
          <w:rFonts w:cs="Arial"/>
          <w:szCs w:val="24"/>
          <w:lang w:eastAsia="en-GB"/>
        </w:rPr>
        <w:t>,</w:t>
      </w:r>
      <w:r w:rsidR="00FD10F9">
        <w:rPr>
          <w:rFonts w:cs="Arial"/>
          <w:color w:val="7030A1"/>
          <w:szCs w:val="24"/>
          <w:lang w:eastAsia="en-GB"/>
        </w:rPr>
        <w:t xml:space="preserve"> </w:t>
      </w:r>
      <w:hyperlink r:id="rId14" w:history="1">
        <w:r w:rsidR="00FD10F9" w:rsidRPr="000E5097">
          <w:rPr>
            <w:rStyle w:val="Hyperlink"/>
            <w:rFonts w:cs="Arial"/>
            <w:szCs w:val="24"/>
            <w:lang w:eastAsia="en-GB"/>
          </w:rPr>
          <w:t>Meghan.zinkewich-peotti@harrow.gov.uk</w:t>
        </w:r>
      </w:hyperlink>
      <w:r w:rsidR="00FD10F9">
        <w:rPr>
          <w:rFonts w:cs="Arial"/>
          <w:color w:val="0000FF"/>
          <w:szCs w:val="24"/>
          <w:lang w:eastAsia="en-GB"/>
        </w:rPr>
        <w:t xml:space="preserve"> tel. </w:t>
      </w:r>
      <w:r w:rsidRPr="00FD10F9">
        <w:rPr>
          <w:rFonts w:cs="Arial"/>
          <w:szCs w:val="24"/>
          <w:lang w:eastAsia="en-GB"/>
        </w:rPr>
        <w:t>020 8424 1346</w:t>
      </w:r>
    </w:p>
    <w:p w14:paraId="29CC7EE9" w14:textId="77777777" w:rsidR="00FD10F9" w:rsidRDefault="00FD10F9" w:rsidP="00D80CC8">
      <w:pPr>
        <w:pStyle w:val="Infotext"/>
        <w:spacing w:after="240"/>
        <w:jc w:val="both"/>
        <w:rPr>
          <w:b/>
        </w:rPr>
      </w:pPr>
    </w:p>
    <w:p w14:paraId="7EA806AF" w14:textId="53ACDDF9" w:rsidR="004C0AF1" w:rsidRDefault="00333FAA" w:rsidP="00D80CC8">
      <w:pPr>
        <w:pStyle w:val="Infotext"/>
        <w:spacing w:after="240"/>
        <w:jc w:val="both"/>
        <w:rPr>
          <w:b/>
        </w:rPr>
      </w:pPr>
      <w:r w:rsidRPr="004E47FC">
        <w:rPr>
          <w:b/>
        </w:rPr>
        <w:t>Background Papers:</w:t>
      </w:r>
      <w:bookmarkStart w:id="0" w:name="_GoBack"/>
      <w:bookmarkEnd w:id="0"/>
    </w:p>
    <w:p w14:paraId="43A4A1CE" w14:textId="72690521" w:rsidR="004C0AF1" w:rsidRDefault="004C0AF1" w:rsidP="00D95BC4">
      <w:pPr>
        <w:pStyle w:val="ListParagraph"/>
        <w:numPr>
          <w:ilvl w:val="0"/>
          <w:numId w:val="17"/>
        </w:numPr>
        <w:ind w:left="360"/>
        <w:jc w:val="both"/>
      </w:pPr>
      <w:r>
        <w:t xml:space="preserve">Housing Allocation Scheme </w:t>
      </w:r>
      <w:r w:rsidR="009F733B">
        <w:t>2013</w:t>
      </w:r>
      <w:r w:rsidR="00D751B1">
        <w:t xml:space="preserve"> </w:t>
      </w:r>
      <w:r w:rsidR="0079560E">
        <w:t>(amended in 2015)</w:t>
      </w:r>
    </w:p>
    <w:p w14:paraId="514C00D1" w14:textId="54D5D5EB" w:rsidR="004C0AF1" w:rsidRDefault="004C0AF1" w:rsidP="00D95BC4">
      <w:pPr>
        <w:pStyle w:val="ListParagraph"/>
        <w:numPr>
          <w:ilvl w:val="0"/>
          <w:numId w:val="17"/>
        </w:numPr>
        <w:ind w:left="360"/>
        <w:jc w:val="both"/>
      </w:pPr>
      <w:r>
        <w:t xml:space="preserve">Tenancy Strategy </w:t>
      </w:r>
      <w:r w:rsidR="009F733B">
        <w:t xml:space="preserve">2012 </w:t>
      </w:r>
    </w:p>
    <w:p w14:paraId="1CE32AA7" w14:textId="53C113AA" w:rsidR="0096699E" w:rsidRPr="007920ED" w:rsidRDefault="004C0AF1" w:rsidP="00D95BC4">
      <w:pPr>
        <w:pStyle w:val="ListParagraph"/>
        <w:numPr>
          <w:ilvl w:val="0"/>
          <w:numId w:val="17"/>
        </w:numPr>
        <w:ind w:left="360"/>
        <w:jc w:val="both"/>
      </w:pPr>
      <w:r>
        <w:t xml:space="preserve">Tenancy Policy </w:t>
      </w:r>
      <w:r w:rsidR="009F733B">
        <w:t>2012</w:t>
      </w:r>
      <w:r w:rsidR="00D751B1">
        <w:t xml:space="preserve"> </w:t>
      </w:r>
    </w:p>
    <w:p w14:paraId="07EC2087" w14:textId="5C463DD4" w:rsidR="009D56D4" w:rsidRDefault="009D56D4" w:rsidP="00D95BC4">
      <w:pPr>
        <w:pStyle w:val="Infotext"/>
        <w:numPr>
          <w:ilvl w:val="0"/>
          <w:numId w:val="17"/>
        </w:numPr>
        <w:ind w:left="360"/>
        <w:jc w:val="both"/>
        <w:rPr>
          <w:bCs/>
          <w:sz w:val="24"/>
          <w:szCs w:val="24"/>
        </w:rPr>
      </w:pPr>
      <w:r w:rsidRPr="0096699E">
        <w:rPr>
          <w:bCs/>
          <w:sz w:val="24"/>
          <w:szCs w:val="24"/>
        </w:rPr>
        <w:t>Housing Evidence Base</w:t>
      </w:r>
    </w:p>
    <w:p w14:paraId="2FCD0793" w14:textId="06EBD03B" w:rsidR="000D7671" w:rsidRDefault="009F733B" w:rsidP="00D95BC4">
      <w:pPr>
        <w:pStyle w:val="Infotext"/>
        <w:numPr>
          <w:ilvl w:val="0"/>
          <w:numId w:val="18"/>
        </w:numPr>
        <w:jc w:val="both"/>
        <w:rPr>
          <w:bCs/>
          <w:sz w:val="24"/>
          <w:szCs w:val="24"/>
        </w:rPr>
      </w:pPr>
      <w:r>
        <w:rPr>
          <w:bCs/>
          <w:sz w:val="24"/>
          <w:szCs w:val="24"/>
        </w:rPr>
        <w:t>Affordability</w:t>
      </w:r>
      <w:r w:rsidR="000D7671">
        <w:rPr>
          <w:bCs/>
          <w:sz w:val="24"/>
          <w:szCs w:val="24"/>
        </w:rPr>
        <w:t xml:space="preserve"> of Housing in </w:t>
      </w:r>
      <w:r w:rsidR="000D7671" w:rsidRPr="000D7671">
        <w:rPr>
          <w:bCs/>
          <w:sz w:val="24"/>
          <w:szCs w:val="24"/>
        </w:rPr>
        <w:t>Harr</w:t>
      </w:r>
      <w:r w:rsidR="000D7671">
        <w:rPr>
          <w:bCs/>
          <w:sz w:val="24"/>
          <w:szCs w:val="24"/>
        </w:rPr>
        <w:t>ow</w:t>
      </w:r>
    </w:p>
    <w:p w14:paraId="6568CFC9" w14:textId="49360955" w:rsidR="009F733B" w:rsidRDefault="000D7671" w:rsidP="00D95BC4">
      <w:pPr>
        <w:pStyle w:val="Infotext"/>
        <w:numPr>
          <w:ilvl w:val="0"/>
          <w:numId w:val="18"/>
        </w:numPr>
        <w:jc w:val="both"/>
        <w:rPr>
          <w:bCs/>
          <w:sz w:val="24"/>
          <w:szCs w:val="24"/>
        </w:rPr>
      </w:pPr>
      <w:r>
        <w:rPr>
          <w:bCs/>
          <w:sz w:val="24"/>
          <w:szCs w:val="24"/>
        </w:rPr>
        <w:t>Homelessness and Housing Needs</w:t>
      </w:r>
    </w:p>
    <w:p w14:paraId="3910CFBB" w14:textId="7FC36E37" w:rsidR="00D751B1" w:rsidRDefault="00D751B1" w:rsidP="00D95BC4">
      <w:pPr>
        <w:pStyle w:val="Infotext"/>
        <w:numPr>
          <w:ilvl w:val="0"/>
          <w:numId w:val="18"/>
        </w:numPr>
        <w:jc w:val="both"/>
        <w:rPr>
          <w:bCs/>
          <w:sz w:val="24"/>
          <w:szCs w:val="24"/>
        </w:rPr>
      </w:pPr>
      <w:r>
        <w:rPr>
          <w:bCs/>
          <w:sz w:val="24"/>
          <w:szCs w:val="24"/>
        </w:rPr>
        <w:t>New Supply</w:t>
      </w:r>
    </w:p>
    <w:p w14:paraId="07683E60" w14:textId="54958BF0" w:rsidR="00D751B1" w:rsidRDefault="00D751B1" w:rsidP="00D95BC4">
      <w:pPr>
        <w:pStyle w:val="Infotext"/>
        <w:numPr>
          <w:ilvl w:val="0"/>
          <w:numId w:val="18"/>
        </w:numPr>
        <w:jc w:val="both"/>
        <w:rPr>
          <w:bCs/>
          <w:sz w:val="24"/>
          <w:szCs w:val="24"/>
        </w:rPr>
      </w:pPr>
      <w:r>
        <w:rPr>
          <w:bCs/>
          <w:sz w:val="24"/>
          <w:szCs w:val="24"/>
        </w:rPr>
        <w:t>Population</w:t>
      </w:r>
    </w:p>
    <w:p w14:paraId="3F3AAA65" w14:textId="357A4458" w:rsidR="000D7671" w:rsidRDefault="00D751B1" w:rsidP="00D95BC4">
      <w:pPr>
        <w:pStyle w:val="Infotext"/>
        <w:numPr>
          <w:ilvl w:val="0"/>
          <w:numId w:val="18"/>
        </w:numPr>
        <w:jc w:val="both"/>
        <w:rPr>
          <w:bCs/>
          <w:sz w:val="24"/>
          <w:szCs w:val="24"/>
        </w:rPr>
      </w:pPr>
      <w:r>
        <w:rPr>
          <w:bCs/>
          <w:sz w:val="24"/>
          <w:szCs w:val="24"/>
        </w:rPr>
        <w:t>Social Housing</w:t>
      </w:r>
    </w:p>
    <w:p w14:paraId="2E9CA2D6" w14:textId="51CD39FA" w:rsidR="00D751B1" w:rsidRPr="0096699E" w:rsidRDefault="00D751B1" w:rsidP="00D95BC4">
      <w:pPr>
        <w:pStyle w:val="Infotext"/>
        <w:numPr>
          <w:ilvl w:val="0"/>
          <w:numId w:val="18"/>
        </w:numPr>
        <w:jc w:val="both"/>
        <w:rPr>
          <w:bCs/>
          <w:sz w:val="24"/>
          <w:szCs w:val="24"/>
        </w:rPr>
      </w:pPr>
      <w:r>
        <w:rPr>
          <w:bCs/>
          <w:sz w:val="24"/>
          <w:szCs w:val="24"/>
        </w:rPr>
        <w:t>Supported Housing</w:t>
      </w:r>
    </w:p>
    <w:p w14:paraId="61DC7436" w14:textId="33E10503" w:rsidR="00842757" w:rsidRPr="007C0DC3" w:rsidRDefault="00842757" w:rsidP="00D80CC8">
      <w:pPr>
        <w:pStyle w:val="Infotext"/>
        <w:spacing w:before="480"/>
        <w:jc w:val="both"/>
        <w:rPr>
          <w:rFonts w:ascii="Arial Black" w:hAnsi="Arial Black"/>
        </w:rPr>
      </w:pPr>
      <w:r>
        <w:rPr>
          <w:rFonts w:ascii="Arial Black" w:hAnsi="Arial Black"/>
        </w:rPr>
        <w:t>Call-in w</w:t>
      </w:r>
      <w:r w:rsidRPr="007C0DC3">
        <w:rPr>
          <w:rFonts w:ascii="Arial Black" w:hAnsi="Arial Black"/>
        </w:rPr>
        <w:t>aived by the Chair of Overview and Scrutiny Committee</w:t>
      </w:r>
      <w:r w:rsidR="00FD10F9">
        <w:rPr>
          <w:rFonts w:ascii="Arial Black" w:hAnsi="Arial Black"/>
        </w:rPr>
        <w:t xml:space="preserve"> - NO</w:t>
      </w:r>
    </w:p>
    <w:p w14:paraId="61DC7438" w14:textId="18023D37" w:rsidR="00842757" w:rsidRDefault="00842757" w:rsidP="00D80CC8">
      <w:pPr>
        <w:pStyle w:val="Infotext"/>
        <w:spacing w:before="240"/>
        <w:jc w:val="both"/>
      </w:pPr>
    </w:p>
    <w:sectPr w:rsidR="00842757" w:rsidSect="001614E0">
      <w:headerReference w:type="defaul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F5E3" w14:textId="77777777" w:rsidR="008F24A4" w:rsidRDefault="008F24A4">
      <w:r>
        <w:separator/>
      </w:r>
    </w:p>
  </w:endnote>
  <w:endnote w:type="continuationSeparator" w:id="0">
    <w:p w14:paraId="5E6365F8" w14:textId="77777777" w:rsidR="008F24A4" w:rsidRDefault="008F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D6DC3" w14:textId="77777777" w:rsidR="008F24A4" w:rsidRDefault="008F24A4">
      <w:r>
        <w:separator/>
      </w:r>
    </w:p>
  </w:footnote>
  <w:footnote w:type="continuationSeparator" w:id="0">
    <w:p w14:paraId="575B90ED" w14:textId="77777777" w:rsidR="008F24A4" w:rsidRDefault="008F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7441" w14:textId="5208B552" w:rsidR="004F16EA" w:rsidRDefault="004F1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2DB"/>
    <w:multiLevelType w:val="hybridMultilevel"/>
    <w:tmpl w:val="EFA2E1BC"/>
    <w:lvl w:ilvl="0" w:tplc="E26E2F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527E6A"/>
    <w:multiLevelType w:val="hybridMultilevel"/>
    <w:tmpl w:val="B660F4D8"/>
    <w:lvl w:ilvl="0" w:tplc="5E7C141C">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D5582"/>
    <w:multiLevelType w:val="hybridMultilevel"/>
    <w:tmpl w:val="4A68CC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86060"/>
    <w:multiLevelType w:val="hybridMultilevel"/>
    <w:tmpl w:val="F83E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9210C"/>
    <w:multiLevelType w:val="hybridMultilevel"/>
    <w:tmpl w:val="949F80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5B4FCF"/>
    <w:multiLevelType w:val="hybridMultilevel"/>
    <w:tmpl w:val="62EEC192"/>
    <w:lvl w:ilvl="0" w:tplc="AA82AD24">
      <w:start w:val="1"/>
      <w:numFmt w:val="bullet"/>
      <w:lvlText w:val="●"/>
      <w:lvlJc w:val="left"/>
      <w:pPr>
        <w:tabs>
          <w:tab w:val="num" w:pos="360"/>
        </w:tabs>
        <w:ind w:left="360" w:hanging="360"/>
      </w:pPr>
      <w:rPr>
        <w:rFonts w:ascii="Arial" w:hAnsi="Arial" w:hint="default"/>
      </w:rPr>
    </w:lvl>
    <w:lvl w:ilvl="1" w:tplc="D4A09080">
      <w:numFmt w:val="none"/>
      <w:lvlText w:val=""/>
      <w:lvlJc w:val="left"/>
      <w:pPr>
        <w:tabs>
          <w:tab w:val="num" w:pos="360"/>
        </w:tabs>
      </w:pPr>
    </w:lvl>
    <w:lvl w:ilvl="2" w:tplc="1E1438DC" w:tentative="1">
      <w:start w:val="1"/>
      <w:numFmt w:val="bullet"/>
      <w:lvlText w:val="●"/>
      <w:lvlJc w:val="left"/>
      <w:pPr>
        <w:tabs>
          <w:tab w:val="num" w:pos="1800"/>
        </w:tabs>
        <w:ind w:left="1800" w:hanging="360"/>
      </w:pPr>
      <w:rPr>
        <w:rFonts w:ascii="Arial" w:hAnsi="Arial" w:hint="default"/>
      </w:rPr>
    </w:lvl>
    <w:lvl w:ilvl="3" w:tplc="9C02840C" w:tentative="1">
      <w:start w:val="1"/>
      <w:numFmt w:val="bullet"/>
      <w:lvlText w:val="●"/>
      <w:lvlJc w:val="left"/>
      <w:pPr>
        <w:tabs>
          <w:tab w:val="num" w:pos="2520"/>
        </w:tabs>
        <w:ind w:left="2520" w:hanging="360"/>
      </w:pPr>
      <w:rPr>
        <w:rFonts w:ascii="Arial" w:hAnsi="Arial" w:hint="default"/>
      </w:rPr>
    </w:lvl>
    <w:lvl w:ilvl="4" w:tplc="69242028" w:tentative="1">
      <w:start w:val="1"/>
      <w:numFmt w:val="bullet"/>
      <w:lvlText w:val="●"/>
      <w:lvlJc w:val="left"/>
      <w:pPr>
        <w:tabs>
          <w:tab w:val="num" w:pos="3240"/>
        </w:tabs>
        <w:ind w:left="3240" w:hanging="360"/>
      </w:pPr>
      <w:rPr>
        <w:rFonts w:ascii="Arial" w:hAnsi="Arial" w:hint="default"/>
      </w:rPr>
    </w:lvl>
    <w:lvl w:ilvl="5" w:tplc="269A67F0" w:tentative="1">
      <w:start w:val="1"/>
      <w:numFmt w:val="bullet"/>
      <w:lvlText w:val="●"/>
      <w:lvlJc w:val="left"/>
      <w:pPr>
        <w:tabs>
          <w:tab w:val="num" w:pos="3960"/>
        </w:tabs>
        <w:ind w:left="3960" w:hanging="360"/>
      </w:pPr>
      <w:rPr>
        <w:rFonts w:ascii="Arial" w:hAnsi="Arial" w:hint="default"/>
      </w:rPr>
    </w:lvl>
    <w:lvl w:ilvl="6" w:tplc="DF127AE6" w:tentative="1">
      <w:start w:val="1"/>
      <w:numFmt w:val="bullet"/>
      <w:lvlText w:val="●"/>
      <w:lvlJc w:val="left"/>
      <w:pPr>
        <w:tabs>
          <w:tab w:val="num" w:pos="4680"/>
        </w:tabs>
        <w:ind w:left="4680" w:hanging="360"/>
      </w:pPr>
      <w:rPr>
        <w:rFonts w:ascii="Arial" w:hAnsi="Arial" w:hint="default"/>
      </w:rPr>
    </w:lvl>
    <w:lvl w:ilvl="7" w:tplc="4298500A" w:tentative="1">
      <w:start w:val="1"/>
      <w:numFmt w:val="bullet"/>
      <w:lvlText w:val="●"/>
      <w:lvlJc w:val="left"/>
      <w:pPr>
        <w:tabs>
          <w:tab w:val="num" w:pos="5400"/>
        </w:tabs>
        <w:ind w:left="5400" w:hanging="360"/>
      </w:pPr>
      <w:rPr>
        <w:rFonts w:ascii="Arial" w:hAnsi="Arial" w:hint="default"/>
      </w:rPr>
    </w:lvl>
    <w:lvl w:ilvl="8" w:tplc="0246B82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6FB42E7"/>
    <w:multiLevelType w:val="multilevel"/>
    <w:tmpl w:val="C0AC2EF4"/>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84C506D"/>
    <w:multiLevelType w:val="hybridMultilevel"/>
    <w:tmpl w:val="7B840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645821"/>
    <w:multiLevelType w:val="hybridMultilevel"/>
    <w:tmpl w:val="993038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53E96"/>
    <w:multiLevelType w:val="hybridMultilevel"/>
    <w:tmpl w:val="5B461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A5D97"/>
    <w:multiLevelType w:val="hybridMultilevel"/>
    <w:tmpl w:val="61DE1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CE7982"/>
    <w:multiLevelType w:val="hybridMultilevel"/>
    <w:tmpl w:val="876A90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7014B80"/>
    <w:multiLevelType w:val="hybridMultilevel"/>
    <w:tmpl w:val="B72E03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B76169"/>
    <w:multiLevelType w:val="hybridMultilevel"/>
    <w:tmpl w:val="E0D8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B7FAC"/>
    <w:multiLevelType w:val="hybridMultilevel"/>
    <w:tmpl w:val="7116FD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B5102"/>
    <w:multiLevelType w:val="hybridMultilevel"/>
    <w:tmpl w:val="DC4E2A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376EA3"/>
    <w:multiLevelType w:val="hybridMultilevel"/>
    <w:tmpl w:val="4EB25F72"/>
    <w:lvl w:ilvl="0" w:tplc="93EC3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6"/>
  </w:num>
  <w:num w:numId="6">
    <w:abstractNumId w:val="15"/>
  </w:num>
  <w:num w:numId="7">
    <w:abstractNumId w:val="8"/>
  </w:num>
  <w:num w:numId="8">
    <w:abstractNumId w:val="7"/>
  </w:num>
  <w:num w:numId="9">
    <w:abstractNumId w:val="9"/>
  </w:num>
  <w:num w:numId="10">
    <w:abstractNumId w:val="16"/>
  </w:num>
  <w:num w:numId="11">
    <w:abstractNumId w:val="3"/>
  </w:num>
  <w:num w:numId="12">
    <w:abstractNumId w:val="12"/>
  </w:num>
  <w:num w:numId="13">
    <w:abstractNumId w:val="17"/>
  </w:num>
  <w:num w:numId="14">
    <w:abstractNumId w:val="1"/>
  </w:num>
  <w:num w:numId="15">
    <w:abstractNumId w:val="2"/>
  </w:num>
  <w:num w:numId="16">
    <w:abstractNumId w:val="13"/>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12/01/2021 14:14"/>
  </w:docVars>
  <w:rsids>
    <w:rsidRoot w:val="00333FAA"/>
    <w:rsid w:val="0000089B"/>
    <w:rsid w:val="000012F9"/>
    <w:rsid w:val="000041C7"/>
    <w:rsid w:val="00007291"/>
    <w:rsid w:val="00007D23"/>
    <w:rsid w:val="00020469"/>
    <w:rsid w:val="0003276F"/>
    <w:rsid w:val="0003287C"/>
    <w:rsid w:val="00032E01"/>
    <w:rsid w:val="0003390C"/>
    <w:rsid w:val="0003441F"/>
    <w:rsid w:val="00035C9F"/>
    <w:rsid w:val="00040003"/>
    <w:rsid w:val="0004029A"/>
    <w:rsid w:val="0004172F"/>
    <w:rsid w:val="0004406E"/>
    <w:rsid w:val="00046E4E"/>
    <w:rsid w:val="00046E62"/>
    <w:rsid w:val="000474E3"/>
    <w:rsid w:val="00051DB0"/>
    <w:rsid w:val="000524E6"/>
    <w:rsid w:val="00054612"/>
    <w:rsid w:val="00055379"/>
    <w:rsid w:val="00055767"/>
    <w:rsid w:val="0006034E"/>
    <w:rsid w:val="00060D23"/>
    <w:rsid w:val="00062656"/>
    <w:rsid w:val="00062FB3"/>
    <w:rsid w:val="00063783"/>
    <w:rsid w:val="00067FD4"/>
    <w:rsid w:val="000727E1"/>
    <w:rsid w:val="00073765"/>
    <w:rsid w:val="00073F68"/>
    <w:rsid w:val="00074C02"/>
    <w:rsid w:val="000758E3"/>
    <w:rsid w:val="00075FFD"/>
    <w:rsid w:val="00077FC8"/>
    <w:rsid w:val="00080827"/>
    <w:rsid w:val="00085950"/>
    <w:rsid w:val="00091186"/>
    <w:rsid w:val="000929A6"/>
    <w:rsid w:val="00093465"/>
    <w:rsid w:val="000951A5"/>
    <w:rsid w:val="000A03C2"/>
    <w:rsid w:val="000A3154"/>
    <w:rsid w:val="000A7CA4"/>
    <w:rsid w:val="000B37E7"/>
    <w:rsid w:val="000B41C0"/>
    <w:rsid w:val="000B5015"/>
    <w:rsid w:val="000B5133"/>
    <w:rsid w:val="000B788F"/>
    <w:rsid w:val="000B7C66"/>
    <w:rsid w:val="000C0249"/>
    <w:rsid w:val="000C0AA1"/>
    <w:rsid w:val="000C156B"/>
    <w:rsid w:val="000C5824"/>
    <w:rsid w:val="000C7581"/>
    <w:rsid w:val="000D4E36"/>
    <w:rsid w:val="000D4F54"/>
    <w:rsid w:val="000D7671"/>
    <w:rsid w:val="000E16F4"/>
    <w:rsid w:val="000E1B44"/>
    <w:rsid w:val="000E3568"/>
    <w:rsid w:val="000E4E4C"/>
    <w:rsid w:val="000E62FE"/>
    <w:rsid w:val="000E7C2C"/>
    <w:rsid w:val="000F2539"/>
    <w:rsid w:val="000F4164"/>
    <w:rsid w:val="000F4575"/>
    <w:rsid w:val="00102252"/>
    <w:rsid w:val="00107EB9"/>
    <w:rsid w:val="0011058A"/>
    <w:rsid w:val="00113007"/>
    <w:rsid w:val="001161E4"/>
    <w:rsid w:val="00125A26"/>
    <w:rsid w:val="00126297"/>
    <w:rsid w:val="001355D0"/>
    <w:rsid w:val="00146798"/>
    <w:rsid w:val="001472A8"/>
    <w:rsid w:val="0015376F"/>
    <w:rsid w:val="0016049A"/>
    <w:rsid w:val="001614E0"/>
    <w:rsid w:val="00161753"/>
    <w:rsid w:val="00162224"/>
    <w:rsid w:val="00162CDF"/>
    <w:rsid w:val="0017052E"/>
    <w:rsid w:val="00171163"/>
    <w:rsid w:val="00171BD8"/>
    <w:rsid w:val="00172029"/>
    <w:rsid w:val="0017416D"/>
    <w:rsid w:val="00175F5B"/>
    <w:rsid w:val="0017653E"/>
    <w:rsid w:val="0017728B"/>
    <w:rsid w:val="0018091D"/>
    <w:rsid w:val="00182B01"/>
    <w:rsid w:val="001840D2"/>
    <w:rsid w:val="00190337"/>
    <w:rsid w:val="00190A96"/>
    <w:rsid w:val="001966D7"/>
    <w:rsid w:val="001B0F38"/>
    <w:rsid w:val="001C1F80"/>
    <w:rsid w:val="001C2AFE"/>
    <w:rsid w:val="001C4D2E"/>
    <w:rsid w:val="001C6813"/>
    <w:rsid w:val="001C7E35"/>
    <w:rsid w:val="001D50BE"/>
    <w:rsid w:val="001D77D5"/>
    <w:rsid w:val="001E2B5E"/>
    <w:rsid w:val="001E2EF2"/>
    <w:rsid w:val="001E3C06"/>
    <w:rsid w:val="001F0037"/>
    <w:rsid w:val="001F07D8"/>
    <w:rsid w:val="001F0BE9"/>
    <w:rsid w:val="001F2DBE"/>
    <w:rsid w:val="00201F64"/>
    <w:rsid w:val="0020207B"/>
    <w:rsid w:val="00202648"/>
    <w:rsid w:val="00202C66"/>
    <w:rsid w:val="00202D79"/>
    <w:rsid w:val="0020559B"/>
    <w:rsid w:val="00205D2F"/>
    <w:rsid w:val="0020724A"/>
    <w:rsid w:val="00210974"/>
    <w:rsid w:val="002153B3"/>
    <w:rsid w:val="00215ACB"/>
    <w:rsid w:val="00215E8F"/>
    <w:rsid w:val="0022003B"/>
    <w:rsid w:val="00221A93"/>
    <w:rsid w:val="002221F9"/>
    <w:rsid w:val="002226D3"/>
    <w:rsid w:val="0022736C"/>
    <w:rsid w:val="002322BB"/>
    <w:rsid w:val="00233D08"/>
    <w:rsid w:val="00234DAF"/>
    <w:rsid w:val="002355B1"/>
    <w:rsid w:val="00240E3D"/>
    <w:rsid w:val="002413DF"/>
    <w:rsid w:val="00251254"/>
    <w:rsid w:val="002548D1"/>
    <w:rsid w:val="00255A24"/>
    <w:rsid w:val="0027283B"/>
    <w:rsid w:val="00272C27"/>
    <w:rsid w:val="00277519"/>
    <w:rsid w:val="0028019B"/>
    <w:rsid w:val="00282E73"/>
    <w:rsid w:val="00283CAB"/>
    <w:rsid w:val="0028525A"/>
    <w:rsid w:val="0028601F"/>
    <w:rsid w:val="00291D30"/>
    <w:rsid w:val="00296E29"/>
    <w:rsid w:val="002A0773"/>
    <w:rsid w:val="002A1E16"/>
    <w:rsid w:val="002A3FEF"/>
    <w:rsid w:val="002A46E2"/>
    <w:rsid w:val="002A4FDE"/>
    <w:rsid w:val="002A66B4"/>
    <w:rsid w:val="002A729A"/>
    <w:rsid w:val="002A7C40"/>
    <w:rsid w:val="002B3BCB"/>
    <w:rsid w:val="002B4E04"/>
    <w:rsid w:val="002B54A6"/>
    <w:rsid w:val="002C5890"/>
    <w:rsid w:val="002C5F81"/>
    <w:rsid w:val="002C77F3"/>
    <w:rsid w:val="002D00E6"/>
    <w:rsid w:val="002D28CC"/>
    <w:rsid w:val="002D2B0A"/>
    <w:rsid w:val="002E030E"/>
    <w:rsid w:val="002E2E69"/>
    <w:rsid w:val="002F2C72"/>
    <w:rsid w:val="002F2F6B"/>
    <w:rsid w:val="002F3EE9"/>
    <w:rsid w:val="00301439"/>
    <w:rsid w:val="00307F76"/>
    <w:rsid w:val="00310BE6"/>
    <w:rsid w:val="00312D14"/>
    <w:rsid w:val="003145B9"/>
    <w:rsid w:val="00314F96"/>
    <w:rsid w:val="00315EC8"/>
    <w:rsid w:val="003175CB"/>
    <w:rsid w:val="003176E4"/>
    <w:rsid w:val="00321FBB"/>
    <w:rsid w:val="00324BD9"/>
    <w:rsid w:val="003313EA"/>
    <w:rsid w:val="00331CA1"/>
    <w:rsid w:val="00332B63"/>
    <w:rsid w:val="00333FAA"/>
    <w:rsid w:val="003355D7"/>
    <w:rsid w:val="003421BF"/>
    <w:rsid w:val="0034389C"/>
    <w:rsid w:val="00354B21"/>
    <w:rsid w:val="00360C1E"/>
    <w:rsid w:val="0036201C"/>
    <w:rsid w:val="00371EFC"/>
    <w:rsid w:val="003727C9"/>
    <w:rsid w:val="00376768"/>
    <w:rsid w:val="003868E5"/>
    <w:rsid w:val="00391E35"/>
    <w:rsid w:val="00393580"/>
    <w:rsid w:val="003B527A"/>
    <w:rsid w:val="003B5E19"/>
    <w:rsid w:val="003B68F6"/>
    <w:rsid w:val="003C4705"/>
    <w:rsid w:val="003D598D"/>
    <w:rsid w:val="003D6669"/>
    <w:rsid w:val="003E562D"/>
    <w:rsid w:val="003E6F6B"/>
    <w:rsid w:val="003E7D6C"/>
    <w:rsid w:val="003F291E"/>
    <w:rsid w:val="003F3AFD"/>
    <w:rsid w:val="003F5317"/>
    <w:rsid w:val="003F6826"/>
    <w:rsid w:val="003F6A64"/>
    <w:rsid w:val="003F7B41"/>
    <w:rsid w:val="004076C8"/>
    <w:rsid w:val="00407B5D"/>
    <w:rsid w:val="00414785"/>
    <w:rsid w:val="004207E3"/>
    <w:rsid w:val="00421A4C"/>
    <w:rsid w:val="004238C2"/>
    <w:rsid w:val="00426DF3"/>
    <w:rsid w:val="00427CD0"/>
    <w:rsid w:val="00430C20"/>
    <w:rsid w:val="00431061"/>
    <w:rsid w:val="00433CCB"/>
    <w:rsid w:val="00434057"/>
    <w:rsid w:val="00435B5D"/>
    <w:rsid w:val="004363F7"/>
    <w:rsid w:val="00443289"/>
    <w:rsid w:val="0044525C"/>
    <w:rsid w:val="00447E45"/>
    <w:rsid w:val="00450128"/>
    <w:rsid w:val="00450FCF"/>
    <w:rsid w:val="004553F1"/>
    <w:rsid w:val="004578F1"/>
    <w:rsid w:val="00460A5F"/>
    <w:rsid w:val="0046237F"/>
    <w:rsid w:val="00463515"/>
    <w:rsid w:val="0046652C"/>
    <w:rsid w:val="00471C1F"/>
    <w:rsid w:val="00473CED"/>
    <w:rsid w:val="00476BD5"/>
    <w:rsid w:val="004809FA"/>
    <w:rsid w:val="004833CB"/>
    <w:rsid w:val="00490E2A"/>
    <w:rsid w:val="00492C45"/>
    <w:rsid w:val="0049326D"/>
    <w:rsid w:val="0049594C"/>
    <w:rsid w:val="004A1218"/>
    <w:rsid w:val="004A2136"/>
    <w:rsid w:val="004B46BB"/>
    <w:rsid w:val="004B6D01"/>
    <w:rsid w:val="004C0AF1"/>
    <w:rsid w:val="004C2EBB"/>
    <w:rsid w:val="004C3151"/>
    <w:rsid w:val="004C4A75"/>
    <w:rsid w:val="004D2DA0"/>
    <w:rsid w:val="004D610E"/>
    <w:rsid w:val="004E14A4"/>
    <w:rsid w:val="004E2350"/>
    <w:rsid w:val="004E357A"/>
    <w:rsid w:val="004E4EC2"/>
    <w:rsid w:val="004E69EE"/>
    <w:rsid w:val="004F16EA"/>
    <w:rsid w:val="004F2D85"/>
    <w:rsid w:val="004F54BD"/>
    <w:rsid w:val="004F56C5"/>
    <w:rsid w:val="004F7E97"/>
    <w:rsid w:val="00505A27"/>
    <w:rsid w:val="00517EEC"/>
    <w:rsid w:val="00522FDA"/>
    <w:rsid w:val="00523BCF"/>
    <w:rsid w:val="0052507B"/>
    <w:rsid w:val="0052535D"/>
    <w:rsid w:val="0053156C"/>
    <w:rsid w:val="005334B8"/>
    <w:rsid w:val="005345EE"/>
    <w:rsid w:val="005354D0"/>
    <w:rsid w:val="00536562"/>
    <w:rsid w:val="0054172C"/>
    <w:rsid w:val="0054590F"/>
    <w:rsid w:val="005459EC"/>
    <w:rsid w:val="005462E6"/>
    <w:rsid w:val="0055042A"/>
    <w:rsid w:val="005552B6"/>
    <w:rsid w:val="00564E93"/>
    <w:rsid w:val="00564EF5"/>
    <w:rsid w:val="005653AB"/>
    <w:rsid w:val="005718B5"/>
    <w:rsid w:val="00575944"/>
    <w:rsid w:val="005808FB"/>
    <w:rsid w:val="0058101D"/>
    <w:rsid w:val="005811F8"/>
    <w:rsid w:val="00582605"/>
    <w:rsid w:val="00583208"/>
    <w:rsid w:val="00586116"/>
    <w:rsid w:val="005867A4"/>
    <w:rsid w:val="00586B56"/>
    <w:rsid w:val="00591016"/>
    <w:rsid w:val="0059460E"/>
    <w:rsid w:val="005961B7"/>
    <w:rsid w:val="00596399"/>
    <w:rsid w:val="00596BBD"/>
    <w:rsid w:val="005A0FD8"/>
    <w:rsid w:val="005A27D2"/>
    <w:rsid w:val="005B3F67"/>
    <w:rsid w:val="005B7DC5"/>
    <w:rsid w:val="005C5819"/>
    <w:rsid w:val="005C669B"/>
    <w:rsid w:val="005D4C00"/>
    <w:rsid w:val="005D548F"/>
    <w:rsid w:val="005D6076"/>
    <w:rsid w:val="005D6EF5"/>
    <w:rsid w:val="005E18FE"/>
    <w:rsid w:val="005E3A10"/>
    <w:rsid w:val="005E45BB"/>
    <w:rsid w:val="005E7509"/>
    <w:rsid w:val="005F1F97"/>
    <w:rsid w:val="005F25D0"/>
    <w:rsid w:val="00600C88"/>
    <w:rsid w:val="00603DD8"/>
    <w:rsid w:val="00605A4C"/>
    <w:rsid w:val="006124C7"/>
    <w:rsid w:val="00613CDC"/>
    <w:rsid w:val="006143BE"/>
    <w:rsid w:val="00621D3B"/>
    <w:rsid w:val="00623AF5"/>
    <w:rsid w:val="006257E8"/>
    <w:rsid w:val="00626F7D"/>
    <w:rsid w:val="00631AAE"/>
    <w:rsid w:val="00635726"/>
    <w:rsid w:val="00644EEE"/>
    <w:rsid w:val="00645B8B"/>
    <w:rsid w:val="0064679A"/>
    <w:rsid w:val="00646B2C"/>
    <w:rsid w:val="006529C3"/>
    <w:rsid w:val="00654814"/>
    <w:rsid w:val="00655044"/>
    <w:rsid w:val="006571E4"/>
    <w:rsid w:val="00657CB3"/>
    <w:rsid w:val="00657D5E"/>
    <w:rsid w:val="00657E6E"/>
    <w:rsid w:val="00663F20"/>
    <w:rsid w:val="006666C3"/>
    <w:rsid w:val="00666922"/>
    <w:rsid w:val="00667506"/>
    <w:rsid w:val="00670BA7"/>
    <w:rsid w:val="00670F17"/>
    <w:rsid w:val="006710C7"/>
    <w:rsid w:val="0067138A"/>
    <w:rsid w:val="0067174D"/>
    <w:rsid w:val="006800C4"/>
    <w:rsid w:val="00684721"/>
    <w:rsid w:val="006954F7"/>
    <w:rsid w:val="00696A83"/>
    <w:rsid w:val="006A1CA0"/>
    <w:rsid w:val="006A5247"/>
    <w:rsid w:val="006B2367"/>
    <w:rsid w:val="006B6D2C"/>
    <w:rsid w:val="006B6FB8"/>
    <w:rsid w:val="006C0432"/>
    <w:rsid w:val="006C20EA"/>
    <w:rsid w:val="006C580A"/>
    <w:rsid w:val="006D1E69"/>
    <w:rsid w:val="006D27CC"/>
    <w:rsid w:val="006D6CB9"/>
    <w:rsid w:val="006D7AC4"/>
    <w:rsid w:val="006D7ADA"/>
    <w:rsid w:val="006E1FD7"/>
    <w:rsid w:val="006E3A08"/>
    <w:rsid w:val="006E5FAE"/>
    <w:rsid w:val="006E7381"/>
    <w:rsid w:val="006F057C"/>
    <w:rsid w:val="006F1BC8"/>
    <w:rsid w:val="006F22DA"/>
    <w:rsid w:val="006F2EB3"/>
    <w:rsid w:val="006F3E03"/>
    <w:rsid w:val="006F5692"/>
    <w:rsid w:val="006F5720"/>
    <w:rsid w:val="006F79CE"/>
    <w:rsid w:val="00705C65"/>
    <w:rsid w:val="007073A5"/>
    <w:rsid w:val="00707C99"/>
    <w:rsid w:val="007116B1"/>
    <w:rsid w:val="007138D9"/>
    <w:rsid w:val="00713B28"/>
    <w:rsid w:val="00714BEE"/>
    <w:rsid w:val="00717422"/>
    <w:rsid w:val="00721215"/>
    <w:rsid w:val="0072268E"/>
    <w:rsid w:val="0072373B"/>
    <w:rsid w:val="00726611"/>
    <w:rsid w:val="00734C33"/>
    <w:rsid w:val="007400CF"/>
    <w:rsid w:val="00751FB8"/>
    <w:rsid w:val="00753F03"/>
    <w:rsid w:val="007551A8"/>
    <w:rsid w:val="00761884"/>
    <w:rsid w:val="007634D2"/>
    <w:rsid w:val="00764AC9"/>
    <w:rsid w:val="00770E75"/>
    <w:rsid w:val="00771865"/>
    <w:rsid w:val="00775BB9"/>
    <w:rsid w:val="00776EA8"/>
    <w:rsid w:val="00782051"/>
    <w:rsid w:val="00782A85"/>
    <w:rsid w:val="00787EF4"/>
    <w:rsid w:val="007920ED"/>
    <w:rsid w:val="0079560E"/>
    <w:rsid w:val="0079792A"/>
    <w:rsid w:val="007A0F49"/>
    <w:rsid w:val="007B0A77"/>
    <w:rsid w:val="007B23FC"/>
    <w:rsid w:val="007B793B"/>
    <w:rsid w:val="007C0383"/>
    <w:rsid w:val="007C0902"/>
    <w:rsid w:val="007C3921"/>
    <w:rsid w:val="007C40DC"/>
    <w:rsid w:val="007D068A"/>
    <w:rsid w:val="007D0C1D"/>
    <w:rsid w:val="007D2000"/>
    <w:rsid w:val="007D2CEF"/>
    <w:rsid w:val="007D4DBF"/>
    <w:rsid w:val="007D5683"/>
    <w:rsid w:val="007D640C"/>
    <w:rsid w:val="007E3831"/>
    <w:rsid w:val="007E38B3"/>
    <w:rsid w:val="007E4732"/>
    <w:rsid w:val="007E4BA4"/>
    <w:rsid w:val="007F004E"/>
    <w:rsid w:val="007F09FA"/>
    <w:rsid w:val="007F335A"/>
    <w:rsid w:val="007F5155"/>
    <w:rsid w:val="00803104"/>
    <w:rsid w:val="0080600D"/>
    <w:rsid w:val="00807EA9"/>
    <w:rsid w:val="008110AB"/>
    <w:rsid w:val="00812901"/>
    <w:rsid w:val="00813227"/>
    <w:rsid w:val="00814AD1"/>
    <w:rsid w:val="00816EE0"/>
    <w:rsid w:val="00824E4C"/>
    <w:rsid w:val="00826292"/>
    <w:rsid w:val="00826B9A"/>
    <w:rsid w:val="00835975"/>
    <w:rsid w:val="00842757"/>
    <w:rsid w:val="008428E5"/>
    <w:rsid w:val="00842EE1"/>
    <w:rsid w:val="00843CC2"/>
    <w:rsid w:val="008517E7"/>
    <w:rsid w:val="0085266D"/>
    <w:rsid w:val="00855155"/>
    <w:rsid w:val="00856859"/>
    <w:rsid w:val="008634BA"/>
    <w:rsid w:val="00874D8A"/>
    <w:rsid w:val="00876482"/>
    <w:rsid w:val="00883D9A"/>
    <w:rsid w:val="0089554F"/>
    <w:rsid w:val="008A254C"/>
    <w:rsid w:val="008A4272"/>
    <w:rsid w:val="008A5AA0"/>
    <w:rsid w:val="008B33E0"/>
    <w:rsid w:val="008C4911"/>
    <w:rsid w:val="008C6568"/>
    <w:rsid w:val="008D2109"/>
    <w:rsid w:val="008D5389"/>
    <w:rsid w:val="008E1477"/>
    <w:rsid w:val="008E21A1"/>
    <w:rsid w:val="008E224D"/>
    <w:rsid w:val="008E6F31"/>
    <w:rsid w:val="008F24A4"/>
    <w:rsid w:val="009015BB"/>
    <w:rsid w:val="009025F6"/>
    <w:rsid w:val="00914938"/>
    <w:rsid w:val="009153BE"/>
    <w:rsid w:val="00921FFD"/>
    <w:rsid w:val="009224DB"/>
    <w:rsid w:val="0092530B"/>
    <w:rsid w:val="00925FDD"/>
    <w:rsid w:val="009307A9"/>
    <w:rsid w:val="009310D4"/>
    <w:rsid w:val="009341A6"/>
    <w:rsid w:val="0094208C"/>
    <w:rsid w:val="00942F17"/>
    <w:rsid w:val="00943236"/>
    <w:rsid w:val="00944111"/>
    <w:rsid w:val="009468C3"/>
    <w:rsid w:val="0094779C"/>
    <w:rsid w:val="00950ACC"/>
    <w:rsid w:val="00952CEF"/>
    <w:rsid w:val="00955421"/>
    <w:rsid w:val="009554AC"/>
    <w:rsid w:val="0095556E"/>
    <w:rsid w:val="009647F3"/>
    <w:rsid w:val="0096699E"/>
    <w:rsid w:val="009812C4"/>
    <w:rsid w:val="00981ECB"/>
    <w:rsid w:val="009834DF"/>
    <w:rsid w:val="00983A7D"/>
    <w:rsid w:val="00990E9C"/>
    <w:rsid w:val="009939B7"/>
    <w:rsid w:val="00994542"/>
    <w:rsid w:val="00994908"/>
    <w:rsid w:val="009A19F0"/>
    <w:rsid w:val="009A39B0"/>
    <w:rsid w:val="009A682F"/>
    <w:rsid w:val="009A7C28"/>
    <w:rsid w:val="009B08E3"/>
    <w:rsid w:val="009B108A"/>
    <w:rsid w:val="009B160B"/>
    <w:rsid w:val="009B221B"/>
    <w:rsid w:val="009B2274"/>
    <w:rsid w:val="009B358E"/>
    <w:rsid w:val="009B46BD"/>
    <w:rsid w:val="009B5476"/>
    <w:rsid w:val="009B5D0E"/>
    <w:rsid w:val="009B5EDB"/>
    <w:rsid w:val="009C237B"/>
    <w:rsid w:val="009C2ECE"/>
    <w:rsid w:val="009D14E3"/>
    <w:rsid w:val="009D1766"/>
    <w:rsid w:val="009D56D4"/>
    <w:rsid w:val="009D64B5"/>
    <w:rsid w:val="009E5A93"/>
    <w:rsid w:val="009F211F"/>
    <w:rsid w:val="009F285D"/>
    <w:rsid w:val="009F3154"/>
    <w:rsid w:val="009F733B"/>
    <w:rsid w:val="00A00414"/>
    <w:rsid w:val="00A00B64"/>
    <w:rsid w:val="00A0188D"/>
    <w:rsid w:val="00A0349B"/>
    <w:rsid w:val="00A03F1F"/>
    <w:rsid w:val="00A04AC2"/>
    <w:rsid w:val="00A118C9"/>
    <w:rsid w:val="00A1211C"/>
    <w:rsid w:val="00A164AC"/>
    <w:rsid w:val="00A20113"/>
    <w:rsid w:val="00A20D78"/>
    <w:rsid w:val="00A2215F"/>
    <w:rsid w:val="00A22839"/>
    <w:rsid w:val="00A23E19"/>
    <w:rsid w:val="00A23E1C"/>
    <w:rsid w:val="00A2416C"/>
    <w:rsid w:val="00A254C3"/>
    <w:rsid w:val="00A323BC"/>
    <w:rsid w:val="00A33185"/>
    <w:rsid w:val="00A331EB"/>
    <w:rsid w:val="00A37261"/>
    <w:rsid w:val="00A40786"/>
    <w:rsid w:val="00A47DF1"/>
    <w:rsid w:val="00A50357"/>
    <w:rsid w:val="00A50DC5"/>
    <w:rsid w:val="00A5109F"/>
    <w:rsid w:val="00A52968"/>
    <w:rsid w:val="00A53B04"/>
    <w:rsid w:val="00A54CC6"/>
    <w:rsid w:val="00A619BC"/>
    <w:rsid w:val="00A661F4"/>
    <w:rsid w:val="00A66326"/>
    <w:rsid w:val="00A669F8"/>
    <w:rsid w:val="00A7271A"/>
    <w:rsid w:val="00A77A22"/>
    <w:rsid w:val="00A80770"/>
    <w:rsid w:val="00A81348"/>
    <w:rsid w:val="00A81B40"/>
    <w:rsid w:val="00A81E19"/>
    <w:rsid w:val="00A85F48"/>
    <w:rsid w:val="00A8676E"/>
    <w:rsid w:val="00A91098"/>
    <w:rsid w:val="00A910F0"/>
    <w:rsid w:val="00A935C2"/>
    <w:rsid w:val="00A9768D"/>
    <w:rsid w:val="00AA0C60"/>
    <w:rsid w:val="00AA4313"/>
    <w:rsid w:val="00AA46C1"/>
    <w:rsid w:val="00AA6B1C"/>
    <w:rsid w:val="00AA7A1A"/>
    <w:rsid w:val="00AB5582"/>
    <w:rsid w:val="00AB63D2"/>
    <w:rsid w:val="00AB6AEC"/>
    <w:rsid w:val="00AB795F"/>
    <w:rsid w:val="00AC2E40"/>
    <w:rsid w:val="00AC5C89"/>
    <w:rsid w:val="00AC6312"/>
    <w:rsid w:val="00AC640E"/>
    <w:rsid w:val="00AC7FF0"/>
    <w:rsid w:val="00AD0A6F"/>
    <w:rsid w:val="00AD1E77"/>
    <w:rsid w:val="00AD251A"/>
    <w:rsid w:val="00AD549D"/>
    <w:rsid w:val="00AD6D80"/>
    <w:rsid w:val="00AD75C5"/>
    <w:rsid w:val="00AE05B6"/>
    <w:rsid w:val="00AE5BD9"/>
    <w:rsid w:val="00AE78A0"/>
    <w:rsid w:val="00AF1097"/>
    <w:rsid w:val="00AF4A50"/>
    <w:rsid w:val="00AF5DF4"/>
    <w:rsid w:val="00B03A17"/>
    <w:rsid w:val="00B03E4E"/>
    <w:rsid w:val="00B07BAF"/>
    <w:rsid w:val="00B1153E"/>
    <w:rsid w:val="00B1160D"/>
    <w:rsid w:val="00B12A99"/>
    <w:rsid w:val="00B137E4"/>
    <w:rsid w:val="00B20483"/>
    <w:rsid w:val="00B228CC"/>
    <w:rsid w:val="00B24827"/>
    <w:rsid w:val="00B24CBF"/>
    <w:rsid w:val="00B26B07"/>
    <w:rsid w:val="00B30237"/>
    <w:rsid w:val="00B338A0"/>
    <w:rsid w:val="00B37B7C"/>
    <w:rsid w:val="00B444E6"/>
    <w:rsid w:val="00B45074"/>
    <w:rsid w:val="00B4655B"/>
    <w:rsid w:val="00B46C98"/>
    <w:rsid w:val="00B52011"/>
    <w:rsid w:val="00B5399D"/>
    <w:rsid w:val="00B53EFF"/>
    <w:rsid w:val="00B54AFA"/>
    <w:rsid w:val="00B671A4"/>
    <w:rsid w:val="00B72B00"/>
    <w:rsid w:val="00B73D1D"/>
    <w:rsid w:val="00B74D30"/>
    <w:rsid w:val="00B7636B"/>
    <w:rsid w:val="00B76446"/>
    <w:rsid w:val="00B804E8"/>
    <w:rsid w:val="00B84878"/>
    <w:rsid w:val="00B961EA"/>
    <w:rsid w:val="00B96FA9"/>
    <w:rsid w:val="00B977E9"/>
    <w:rsid w:val="00BA4BD3"/>
    <w:rsid w:val="00BA7723"/>
    <w:rsid w:val="00BB0327"/>
    <w:rsid w:val="00BB0709"/>
    <w:rsid w:val="00BB3480"/>
    <w:rsid w:val="00BB58CB"/>
    <w:rsid w:val="00BC13C2"/>
    <w:rsid w:val="00BC206C"/>
    <w:rsid w:val="00BC431A"/>
    <w:rsid w:val="00BD6CBA"/>
    <w:rsid w:val="00BF3A7C"/>
    <w:rsid w:val="00C01A35"/>
    <w:rsid w:val="00C03772"/>
    <w:rsid w:val="00C04EDA"/>
    <w:rsid w:val="00C053E0"/>
    <w:rsid w:val="00C119A2"/>
    <w:rsid w:val="00C215DA"/>
    <w:rsid w:val="00C22819"/>
    <w:rsid w:val="00C24D85"/>
    <w:rsid w:val="00C27F0D"/>
    <w:rsid w:val="00C36401"/>
    <w:rsid w:val="00C36571"/>
    <w:rsid w:val="00C4169A"/>
    <w:rsid w:val="00C44209"/>
    <w:rsid w:val="00C50415"/>
    <w:rsid w:val="00C55567"/>
    <w:rsid w:val="00C56E74"/>
    <w:rsid w:val="00C57267"/>
    <w:rsid w:val="00C62B63"/>
    <w:rsid w:val="00C64136"/>
    <w:rsid w:val="00C72B5B"/>
    <w:rsid w:val="00C758CD"/>
    <w:rsid w:val="00C80C77"/>
    <w:rsid w:val="00C81460"/>
    <w:rsid w:val="00C833CE"/>
    <w:rsid w:val="00C869F3"/>
    <w:rsid w:val="00C86F70"/>
    <w:rsid w:val="00C871C3"/>
    <w:rsid w:val="00C93F4F"/>
    <w:rsid w:val="00C969A6"/>
    <w:rsid w:val="00C97945"/>
    <w:rsid w:val="00CA304E"/>
    <w:rsid w:val="00CB1509"/>
    <w:rsid w:val="00CB2F1D"/>
    <w:rsid w:val="00CB6BE3"/>
    <w:rsid w:val="00CC18AC"/>
    <w:rsid w:val="00CC2643"/>
    <w:rsid w:val="00CC306B"/>
    <w:rsid w:val="00CD1C3D"/>
    <w:rsid w:val="00CD64C0"/>
    <w:rsid w:val="00CD7D5D"/>
    <w:rsid w:val="00CE373E"/>
    <w:rsid w:val="00CE3F2A"/>
    <w:rsid w:val="00CE5AAC"/>
    <w:rsid w:val="00CE6A27"/>
    <w:rsid w:val="00CE7367"/>
    <w:rsid w:val="00CF070A"/>
    <w:rsid w:val="00CF0FC4"/>
    <w:rsid w:val="00CF309F"/>
    <w:rsid w:val="00CF31A3"/>
    <w:rsid w:val="00CF6932"/>
    <w:rsid w:val="00D01FE3"/>
    <w:rsid w:val="00D02541"/>
    <w:rsid w:val="00D0381E"/>
    <w:rsid w:val="00D055A6"/>
    <w:rsid w:val="00D05CF9"/>
    <w:rsid w:val="00D06CA3"/>
    <w:rsid w:val="00D07F46"/>
    <w:rsid w:val="00D170E5"/>
    <w:rsid w:val="00D21CDB"/>
    <w:rsid w:val="00D27646"/>
    <w:rsid w:val="00D30B84"/>
    <w:rsid w:val="00D3137E"/>
    <w:rsid w:val="00D32123"/>
    <w:rsid w:val="00D334CA"/>
    <w:rsid w:val="00D3635B"/>
    <w:rsid w:val="00D37F2F"/>
    <w:rsid w:val="00D412BD"/>
    <w:rsid w:val="00D415B9"/>
    <w:rsid w:val="00D47825"/>
    <w:rsid w:val="00D528E8"/>
    <w:rsid w:val="00D559A5"/>
    <w:rsid w:val="00D6263D"/>
    <w:rsid w:val="00D66027"/>
    <w:rsid w:val="00D676B5"/>
    <w:rsid w:val="00D716BC"/>
    <w:rsid w:val="00D751B1"/>
    <w:rsid w:val="00D771D0"/>
    <w:rsid w:val="00D77F1D"/>
    <w:rsid w:val="00D80CC8"/>
    <w:rsid w:val="00D835CF"/>
    <w:rsid w:val="00D86B0F"/>
    <w:rsid w:val="00D8771F"/>
    <w:rsid w:val="00D9066B"/>
    <w:rsid w:val="00D91B89"/>
    <w:rsid w:val="00D94DEC"/>
    <w:rsid w:val="00D95BC4"/>
    <w:rsid w:val="00D97B2A"/>
    <w:rsid w:val="00DA26FB"/>
    <w:rsid w:val="00DA36BE"/>
    <w:rsid w:val="00DA36D3"/>
    <w:rsid w:val="00DA4450"/>
    <w:rsid w:val="00DA6A73"/>
    <w:rsid w:val="00DB2353"/>
    <w:rsid w:val="00DB6C3D"/>
    <w:rsid w:val="00DC0F39"/>
    <w:rsid w:val="00DC2A98"/>
    <w:rsid w:val="00DC5801"/>
    <w:rsid w:val="00DC5ACF"/>
    <w:rsid w:val="00DC6A4D"/>
    <w:rsid w:val="00DC6B77"/>
    <w:rsid w:val="00DD21B4"/>
    <w:rsid w:val="00DD3573"/>
    <w:rsid w:val="00DD38B4"/>
    <w:rsid w:val="00DD5EE4"/>
    <w:rsid w:val="00DD73C3"/>
    <w:rsid w:val="00DD7468"/>
    <w:rsid w:val="00DD7DA6"/>
    <w:rsid w:val="00DE01C3"/>
    <w:rsid w:val="00DE25AB"/>
    <w:rsid w:val="00DE25E9"/>
    <w:rsid w:val="00DE451D"/>
    <w:rsid w:val="00DE71D3"/>
    <w:rsid w:val="00DE72CF"/>
    <w:rsid w:val="00DF08A0"/>
    <w:rsid w:val="00DF5FFD"/>
    <w:rsid w:val="00DF7AB8"/>
    <w:rsid w:val="00E00263"/>
    <w:rsid w:val="00E12194"/>
    <w:rsid w:val="00E1270B"/>
    <w:rsid w:val="00E13BEF"/>
    <w:rsid w:val="00E16062"/>
    <w:rsid w:val="00E21559"/>
    <w:rsid w:val="00E27EAB"/>
    <w:rsid w:val="00E31169"/>
    <w:rsid w:val="00E33A92"/>
    <w:rsid w:val="00E34800"/>
    <w:rsid w:val="00E45D7B"/>
    <w:rsid w:val="00E46488"/>
    <w:rsid w:val="00E478D7"/>
    <w:rsid w:val="00E5589A"/>
    <w:rsid w:val="00E568E2"/>
    <w:rsid w:val="00E56A4B"/>
    <w:rsid w:val="00E56B46"/>
    <w:rsid w:val="00E61AB8"/>
    <w:rsid w:val="00E62A58"/>
    <w:rsid w:val="00E6543F"/>
    <w:rsid w:val="00E66493"/>
    <w:rsid w:val="00E70760"/>
    <w:rsid w:val="00E7161C"/>
    <w:rsid w:val="00E862FC"/>
    <w:rsid w:val="00E903D2"/>
    <w:rsid w:val="00E9253C"/>
    <w:rsid w:val="00E93C8D"/>
    <w:rsid w:val="00E94CFB"/>
    <w:rsid w:val="00E97CF6"/>
    <w:rsid w:val="00EA0CAA"/>
    <w:rsid w:val="00EB3AF5"/>
    <w:rsid w:val="00EB3B4C"/>
    <w:rsid w:val="00EB3CF0"/>
    <w:rsid w:val="00EB45B5"/>
    <w:rsid w:val="00EB50F5"/>
    <w:rsid w:val="00EB5E57"/>
    <w:rsid w:val="00EB61DB"/>
    <w:rsid w:val="00EC2CD1"/>
    <w:rsid w:val="00EC3D0E"/>
    <w:rsid w:val="00ED4AFD"/>
    <w:rsid w:val="00ED5119"/>
    <w:rsid w:val="00ED6776"/>
    <w:rsid w:val="00ED73D1"/>
    <w:rsid w:val="00EE000D"/>
    <w:rsid w:val="00EE3F43"/>
    <w:rsid w:val="00EE4FBE"/>
    <w:rsid w:val="00EF03C8"/>
    <w:rsid w:val="00EF296A"/>
    <w:rsid w:val="00EF3CD0"/>
    <w:rsid w:val="00EF4680"/>
    <w:rsid w:val="00F00CB1"/>
    <w:rsid w:val="00F02205"/>
    <w:rsid w:val="00F038A1"/>
    <w:rsid w:val="00F04C45"/>
    <w:rsid w:val="00F0530F"/>
    <w:rsid w:val="00F06E4E"/>
    <w:rsid w:val="00F1681D"/>
    <w:rsid w:val="00F201DF"/>
    <w:rsid w:val="00F21DB7"/>
    <w:rsid w:val="00F301E2"/>
    <w:rsid w:val="00F3525A"/>
    <w:rsid w:val="00F35AC9"/>
    <w:rsid w:val="00F51E01"/>
    <w:rsid w:val="00F528BB"/>
    <w:rsid w:val="00F549E7"/>
    <w:rsid w:val="00F5649A"/>
    <w:rsid w:val="00F56C7B"/>
    <w:rsid w:val="00F60AFE"/>
    <w:rsid w:val="00F63DD6"/>
    <w:rsid w:val="00F66147"/>
    <w:rsid w:val="00F67035"/>
    <w:rsid w:val="00F67DC5"/>
    <w:rsid w:val="00F71235"/>
    <w:rsid w:val="00F802B0"/>
    <w:rsid w:val="00F82342"/>
    <w:rsid w:val="00F84837"/>
    <w:rsid w:val="00F877DB"/>
    <w:rsid w:val="00F91AE4"/>
    <w:rsid w:val="00F91FA5"/>
    <w:rsid w:val="00F93C8B"/>
    <w:rsid w:val="00F959DD"/>
    <w:rsid w:val="00F95E75"/>
    <w:rsid w:val="00F960D5"/>
    <w:rsid w:val="00F963A0"/>
    <w:rsid w:val="00FA533E"/>
    <w:rsid w:val="00FA787B"/>
    <w:rsid w:val="00FB1231"/>
    <w:rsid w:val="00FC1C5C"/>
    <w:rsid w:val="00FC7DD0"/>
    <w:rsid w:val="00FD10F9"/>
    <w:rsid w:val="00FD1858"/>
    <w:rsid w:val="00FE17E2"/>
    <w:rsid w:val="00FE44D7"/>
    <w:rsid w:val="00FE4B8C"/>
    <w:rsid w:val="00FF0AEC"/>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DC736D"/>
  <w15:docId w15:val="{18049152-1805-46C3-BC96-3215D64A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D94DE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4578F1"/>
    <w:rPr>
      <w:sz w:val="16"/>
      <w:szCs w:val="16"/>
    </w:rPr>
  </w:style>
  <w:style w:type="paragraph" w:styleId="CommentText">
    <w:name w:val="annotation text"/>
    <w:basedOn w:val="Normal"/>
    <w:link w:val="CommentTextChar"/>
    <w:semiHidden/>
    <w:unhideWhenUsed/>
    <w:rsid w:val="004578F1"/>
    <w:rPr>
      <w:sz w:val="20"/>
    </w:rPr>
  </w:style>
  <w:style w:type="character" w:customStyle="1" w:styleId="CommentTextChar">
    <w:name w:val="Comment Text Char"/>
    <w:basedOn w:val="DefaultParagraphFont"/>
    <w:link w:val="CommentText"/>
    <w:semiHidden/>
    <w:rsid w:val="004578F1"/>
    <w:rPr>
      <w:rFonts w:ascii="Arial" w:hAnsi="Arial"/>
      <w:lang w:eastAsia="en-US"/>
    </w:rPr>
  </w:style>
  <w:style w:type="paragraph" w:styleId="CommentSubject">
    <w:name w:val="annotation subject"/>
    <w:basedOn w:val="CommentText"/>
    <w:next w:val="CommentText"/>
    <w:link w:val="CommentSubjectChar"/>
    <w:semiHidden/>
    <w:unhideWhenUsed/>
    <w:rsid w:val="004578F1"/>
    <w:rPr>
      <w:b/>
      <w:bCs/>
    </w:rPr>
  </w:style>
  <w:style w:type="character" w:customStyle="1" w:styleId="CommentSubjectChar">
    <w:name w:val="Comment Subject Char"/>
    <w:basedOn w:val="CommentTextChar"/>
    <w:link w:val="CommentSubject"/>
    <w:semiHidden/>
    <w:rsid w:val="004578F1"/>
    <w:rPr>
      <w:rFonts w:ascii="Arial" w:hAnsi="Arial"/>
      <w:b/>
      <w:bCs/>
      <w:lang w:eastAsia="en-US"/>
    </w:rPr>
  </w:style>
  <w:style w:type="paragraph" w:styleId="NoSpacing">
    <w:name w:val="No Spacing"/>
    <w:uiPriority w:val="1"/>
    <w:qFormat/>
    <w:rsid w:val="00F35AC9"/>
    <w:rPr>
      <w:rFonts w:ascii="Calibri" w:eastAsia="Calibri" w:hAnsi="Calibri"/>
      <w:sz w:val="22"/>
      <w:szCs w:val="22"/>
      <w:lang w:eastAsia="en-US"/>
    </w:rPr>
  </w:style>
  <w:style w:type="character" w:customStyle="1" w:styleId="Heading3Char">
    <w:name w:val="Heading 3 Char"/>
    <w:basedOn w:val="DefaultParagraphFont"/>
    <w:link w:val="Heading3"/>
    <w:rsid w:val="00F35AC9"/>
    <w:rPr>
      <w:rFonts w:ascii="Arial" w:hAnsi="Arial" w:cs="Arial"/>
      <w:b/>
      <w:bCs/>
      <w:sz w:val="28"/>
      <w:szCs w:val="28"/>
      <w:lang w:eastAsia="en-US"/>
    </w:rPr>
  </w:style>
  <w:style w:type="character" w:styleId="UnresolvedMention">
    <w:name w:val="Unresolved Mention"/>
    <w:basedOn w:val="DefaultParagraphFont"/>
    <w:uiPriority w:val="99"/>
    <w:semiHidden/>
    <w:unhideWhenUsed/>
    <w:rsid w:val="00FD1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2921">
      <w:bodyDiv w:val="1"/>
      <w:marLeft w:val="0"/>
      <w:marRight w:val="0"/>
      <w:marTop w:val="0"/>
      <w:marBottom w:val="0"/>
      <w:divBdr>
        <w:top w:val="none" w:sz="0" w:space="0" w:color="auto"/>
        <w:left w:val="none" w:sz="0" w:space="0" w:color="auto"/>
        <w:bottom w:val="none" w:sz="0" w:space="0" w:color="auto"/>
        <w:right w:val="none" w:sz="0" w:space="0" w:color="auto"/>
      </w:divBdr>
    </w:div>
    <w:div w:id="62223748">
      <w:bodyDiv w:val="1"/>
      <w:marLeft w:val="0"/>
      <w:marRight w:val="0"/>
      <w:marTop w:val="0"/>
      <w:marBottom w:val="0"/>
      <w:divBdr>
        <w:top w:val="none" w:sz="0" w:space="0" w:color="auto"/>
        <w:left w:val="none" w:sz="0" w:space="0" w:color="auto"/>
        <w:bottom w:val="none" w:sz="0" w:space="0" w:color="auto"/>
        <w:right w:val="none" w:sz="0" w:space="0" w:color="auto"/>
      </w:divBdr>
    </w:div>
    <w:div w:id="67702171">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5863675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54846343">
      <w:bodyDiv w:val="1"/>
      <w:marLeft w:val="0"/>
      <w:marRight w:val="0"/>
      <w:marTop w:val="0"/>
      <w:marBottom w:val="0"/>
      <w:divBdr>
        <w:top w:val="none" w:sz="0" w:space="0" w:color="auto"/>
        <w:left w:val="none" w:sz="0" w:space="0" w:color="auto"/>
        <w:bottom w:val="none" w:sz="0" w:space="0" w:color="auto"/>
        <w:right w:val="none" w:sz="0" w:space="0" w:color="auto"/>
      </w:divBdr>
    </w:div>
    <w:div w:id="676930293">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94360169">
      <w:bodyDiv w:val="1"/>
      <w:marLeft w:val="0"/>
      <w:marRight w:val="0"/>
      <w:marTop w:val="0"/>
      <w:marBottom w:val="0"/>
      <w:divBdr>
        <w:top w:val="none" w:sz="0" w:space="0" w:color="auto"/>
        <w:left w:val="none" w:sz="0" w:space="0" w:color="auto"/>
        <w:bottom w:val="none" w:sz="0" w:space="0" w:color="auto"/>
        <w:right w:val="none" w:sz="0" w:space="0" w:color="auto"/>
      </w:divBdr>
    </w:div>
    <w:div w:id="1805348859">
      <w:bodyDiv w:val="1"/>
      <w:marLeft w:val="0"/>
      <w:marRight w:val="0"/>
      <w:marTop w:val="0"/>
      <w:marBottom w:val="0"/>
      <w:divBdr>
        <w:top w:val="none" w:sz="0" w:space="0" w:color="auto"/>
        <w:left w:val="none" w:sz="0" w:space="0" w:color="auto"/>
        <w:bottom w:val="none" w:sz="0" w:space="0" w:color="auto"/>
        <w:right w:val="none" w:sz="0" w:space="0" w:color="auto"/>
      </w:divBdr>
    </w:div>
    <w:div w:id="1905026978">
      <w:bodyDiv w:val="1"/>
      <w:marLeft w:val="0"/>
      <w:marRight w:val="0"/>
      <w:marTop w:val="0"/>
      <w:marBottom w:val="0"/>
      <w:divBdr>
        <w:top w:val="none" w:sz="0" w:space="0" w:color="auto"/>
        <w:left w:val="none" w:sz="0" w:space="0" w:color="auto"/>
        <w:bottom w:val="none" w:sz="0" w:space="0" w:color="auto"/>
        <w:right w:val="none" w:sz="0" w:space="0" w:color="auto"/>
      </w:divBdr>
    </w:div>
    <w:div w:id="1934780462">
      <w:bodyDiv w:val="1"/>
      <w:marLeft w:val="0"/>
      <w:marRight w:val="0"/>
      <w:marTop w:val="0"/>
      <w:marBottom w:val="0"/>
      <w:divBdr>
        <w:top w:val="none" w:sz="0" w:space="0" w:color="auto"/>
        <w:left w:val="none" w:sz="0" w:space="0" w:color="auto"/>
        <w:bottom w:val="none" w:sz="0" w:space="0" w:color="auto"/>
        <w:right w:val="none" w:sz="0" w:space="0" w:color="auto"/>
      </w:divBdr>
    </w:div>
    <w:div w:id="2062484214">
      <w:bodyDiv w:val="1"/>
      <w:marLeft w:val="0"/>
      <w:marRight w:val="0"/>
      <w:marTop w:val="0"/>
      <w:marBottom w:val="0"/>
      <w:divBdr>
        <w:top w:val="none" w:sz="0" w:space="0" w:color="auto"/>
        <w:left w:val="none" w:sz="0" w:space="0" w:color="auto"/>
        <w:bottom w:val="none" w:sz="0" w:space="0" w:color="auto"/>
        <w:right w:val="none" w:sz="0" w:space="0" w:color="auto"/>
      </w:divBdr>
    </w:div>
    <w:div w:id="21106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eghan.zinkewich-peotti@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23</Value>
    </TaxCatchAll>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Draft Cabinet Report Alloc and Tenancy</HarrowDescription>
    <fa3b4bd897c7428fbe12a8adfa721444 xmlns="b1ef60e8-6b97-43a1-a8a2-68e3867a5a28">
      <Terms xmlns="http://schemas.microsoft.com/office/infopath/2007/PartnerControls">
        <TermInfo xmlns="http://schemas.microsoft.com/office/infopath/2007/PartnerControls">
          <TermName xmlns="http://schemas.microsoft.com/office/infopath/2007/PartnerControls">Housing Strategies</TermName>
          <TermId xmlns="http://schemas.microsoft.com/office/infopath/2007/PartnerControls">ee7e62dd-0a3e-4929-8336-3e2cee3e1d06</TermId>
        </TermInfo>
      </Terms>
    </fa3b4bd897c7428fbe12a8adfa721444>
  </documentManagement>
</p:properties>
</file>

<file path=customXml/item4.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89A88A59C13B674CA5C6E2BD50A494C7" ma:contentTypeVersion="8" ma:contentTypeDescription="A basic document." ma:contentTypeScope="" ma:versionID="24f852c94c6e14429302863990005810">
  <xsd:schema xmlns:xsd="http://www.w3.org/2001/XMLSchema" xmlns:xs="http://www.w3.org/2001/XMLSchema" xmlns:p="http://schemas.microsoft.com/office/2006/metadata/properties" xmlns:ns2="e48e9339-ef40-4192-ab59-a15ba5582753" xmlns:ns3="b1ef60e8-6b97-43a1-a8a2-68e3867a5a28" targetNamespace="http://schemas.microsoft.com/office/2006/metadata/properties" ma:root="true" ma:fieldsID="0ef3662ba3c14a2314931575a950b407" ns2:_="" ns3:_="">
    <xsd:import namespace="e48e9339-ef40-4192-ab59-a15ba5582753"/>
    <xsd:import namespace="b1ef60e8-6b97-43a1-a8a2-68e3867a5a28"/>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fa3b4bd897c7428fbe12a8adfa72144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32c3719-1b38-4ac8-9e49-199c1cfbd835}" ma:internalName="TaxCatchAll" ma:showField="CatchAllData" ma:web="8cd4ab30-8150-4b28-b831-25d87cc055d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32c3719-1b38-4ac8-9e49-199c1cfbd835}" ma:internalName="TaxCatchAllLabel" ma:readOnly="true" ma:showField="CatchAllDataLabel" ma:web="8cd4ab30-8150-4b28-b831-25d87cc055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f60e8-6b97-43a1-a8a2-68e3867a5a28" elementFormDefault="qualified">
    <xsd:import namespace="http://schemas.microsoft.com/office/2006/documentManagement/types"/>
    <xsd:import namespace="http://schemas.microsoft.com/office/infopath/2007/PartnerControls"/>
    <xsd:element name="fa3b4bd897c7428fbe12a8adfa721444" ma:index="15" ma:taxonomy="true" ma:internalName="fa3b4bd897c7428fbe12a8adfa721444" ma:taxonomyFieldName="ProjectName" ma:displayName="Project Name" ma:indexed="true" ma:default="" ma:fieldId="{fa3b4bd8-97c7-428f-be12-a8adfa721444}" ma:sspId="b11bda97-64e7-4000-91fd-dcaad77bf85d" ma:termSetId="67b48b64-eec9-4df7-82d8-c31aad71b0b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b1ef60e8-6b97-43a1-a8a2-68e3867a5a28"/>
  </ds:schemaRefs>
</ds:datastoreItem>
</file>

<file path=customXml/itemProps4.xml><?xml version="1.0" encoding="utf-8"?>
<ds:datastoreItem xmlns:ds="http://schemas.openxmlformats.org/officeDocument/2006/customXml" ds:itemID="{8D0CE18D-7869-465B-904A-C0BFB532F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b1ef60e8-6b97-43a1-a8a2-68e3867a5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C36DF3-8A97-45A3-A4CF-93480C7B4B3D}">
  <ds:schemaRefs>
    <ds:schemaRef ds:uri="Microsoft.SharePoint.Taxonomy.ContentTypeSync"/>
  </ds:schemaRefs>
</ds:datastoreItem>
</file>

<file path=customXml/itemProps6.xml><?xml version="1.0" encoding="utf-8"?>
<ds:datastoreItem xmlns:ds="http://schemas.openxmlformats.org/officeDocument/2006/customXml" ds:itemID="{5CF9F897-5C07-4F9C-83C5-2BCDF7C5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7309</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Draft Cabinet Report Alloc and Tenancy</vt:lpstr>
    </vt:vector>
  </TitlesOfParts>
  <Company>Harrow Council</Company>
  <LinksUpToDate>false</LinksUpToDate>
  <CharactersWithSpaces>48874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Cabinet Report Alloc and Tenancy</dc:title>
  <dc:creator>DGhelani</dc:creator>
  <cp:lastModifiedBy>Nikoleta Nikolova</cp:lastModifiedBy>
  <cp:revision>42</cp:revision>
  <cp:lastPrinted>2014-10-31T16:34:00Z</cp:lastPrinted>
  <dcterms:created xsi:type="dcterms:W3CDTF">2021-01-12T15:11:00Z</dcterms:created>
  <dcterms:modified xsi:type="dcterms:W3CDTF">2021-01-13T16:38:00Z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0x0101000226E4B75CFA47B488D2CEFE4DCFDD640089A88A59C13B674CA5C6E2BD50A494C7</vt:lpwstr>
  </property>
  <property fmtid="{D5CDD505-2E9C-101B-9397-08002B2CF9AE}" pid="3" name="TaxKeyword">
    <vt:lpwstr/>
  </property>
  <property fmtid="{D5CDD505-2E9C-101B-9397-08002B2CF9AE}" pid="4" name="ProjectName">
    <vt:lpwstr>23;#Housing Strategies|ee7e62dd-0a3e-4929-8336-3e2cee3e1d06</vt:lpwstr>
  </property>
</Properties>
</file>